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0CBB" w14:textId="3B6DD8F8" w:rsidR="00E2741D" w:rsidRDefault="00236AFB" w:rsidP="0043148F">
      <w:pPr>
        <w:pStyle w:val="Heading2"/>
        <w:rPr>
          <w:lang w:val="en-US"/>
        </w:rPr>
      </w:pPr>
      <w:r>
        <w:rPr>
          <w:lang w:val="en-US"/>
        </w:rPr>
        <w:t>Te</w:t>
      </w:r>
      <w:r w:rsidR="000E1693">
        <w:rPr>
          <w:lang w:val="en-US"/>
        </w:rPr>
        <w:t>aching and Learning</w:t>
      </w:r>
    </w:p>
    <w:p w14:paraId="0AE9BE6F" w14:textId="2EFC5738" w:rsidR="00A54DA3" w:rsidRDefault="00A54DA3" w:rsidP="00A54DA3">
      <w:pPr>
        <w:rPr>
          <w:rFonts w:ascii="Avenir Next" w:hAnsi="Avenir Next"/>
          <w:lang w:val="en-US"/>
        </w:rPr>
      </w:pPr>
      <w:r w:rsidRPr="00A54DA3">
        <w:rPr>
          <w:rFonts w:ascii="Avenir Next" w:hAnsi="Avenir Next"/>
          <w:lang w:val="en-US"/>
        </w:rPr>
        <w:t xml:space="preserve">This </w:t>
      </w:r>
      <w:r w:rsidR="004F3248">
        <w:rPr>
          <w:rFonts w:ascii="Avenir Next" w:hAnsi="Avenir Next"/>
          <w:lang w:val="en-US"/>
        </w:rPr>
        <w:t>component</w:t>
      </w:r>
      <w:r w:rsidRPr="00A54DA3">
        <w:rPr>
          <w:rFonts w:ascii="Avenir Next" w:hAnsi="Avenir Next"/>
          <w:lang w:val="en-US"/>
        </w:rPr>
        <w:t xml:space="preserve"> includes learning activities and curriculum approaches in which children</w:t>
      </w:r>
      <w:r w:rsidR="004F3248">
        <w:rPr>
          <w:rFonts w:ascii="Avenir Next" w:hAnsi="Avenir Next"/>
          <w:lang w:val="en-US"/>
        </w:rPr>
        <w:t xml:space="preserve"> </w:t>
      </w:r>
      <w:r w:rsidRPr="00A54DA3">
        <w:rPr>
          <w:rFonts w:ascii="Avenir Next" w:hAnsi="Avenir Next"/>
          <w:lang w:val="en-US"/>
        </w:rPr>
        <w:t>and youth acquire developmentally appropriate knowledge, attitudes and skills that</w:t>
      </w:r>
      <w:r w:rsidR="004F3248">
        <w:rPr>
          <w:rFonts w:ascii="Avenir Next" w:hAnsi="Avenir Next"/>
          <w:lang w:val="en-US"/>
        </w:rPr>
        <w:t xml:space="preserve"> </w:t>
      </w:r>
      <w:r w:rsidRPr="00A54DA3">
        <w:rPr>
          <w:rFonts w:ascii="Avenir Next" w:hAnsi="Avenir Next"/>
          <w:lang w:val="en-US"/>
        </w:rPr>
        <w:t>contribute to their social and emotional growth and overall psychological well-being.</w:t>
      </w:r>
      <w:r w:rsidR="004F3248">
        <w:rPr>
          <w:rFonts w:ascii="Avenir Next" w:hAnsi="Avenir Next"/>
          <w:lang w:val="en-US"/>
        </w:rPr>
        <w:t xml:space="preserve"> </w:t>
      </w:r>
    </w:p>
    <w:p w14:paraId="32C54197" w14:textId="77777777" w:rsidR="00A54DA3" w:rsidRPr="00A54DA3" w:rsidRDefault="00A54DA3" w:rsidP="00A54DA3">
      <w:pPr>
        <w:rPr>
          <w:rFonts w:ascii="Avenir Next" w:hAnsi="Avenir Next"/>
          <w:lang w:val="en-US"/>
        </w:rPr>
      </w:pPr>
    </w:p>
    <w:p w14:paraId="275606ED" w14:textId="64B4559F" w:rsidR="00A54DA3" w:rsidRPr="00BC7807" w:rsidRDefault="00A54DA3" w:rsidP="00A54DA3">
      <w:pP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  <w:r w:rsidRPr="00BC7807">
        <w:rPr>
          <w:rFonts w:ascii="Avenir Next" w:eastAsiaTheme="majorEastAsia" w:hAnsi="Avenir Next" w:cstheme="majorBidi"/>
          <w:color w:val="0F4761" w:themeColor="accent1" w:themeShade="BF"/>
          <w:lang w:val="en-US"/>
        </w:rPr>
        <w:t>Differences and Diversity in the Classroom</w:t>
      </w:r>
    </w:p>
    <w:p w14:paraId="0752964C" w14:textId="1119FD63" w:rsidR="00236AFB" w:rsidRDefault="00236AFB" w:rsidP="00236AFB">
      <w:pPr>
        <w:rPr>
          <w:rFonts w:ascii="Avenir Next" w:hAnsi="Avenir Next"/>
          <w:lang w:val="en-US"/>
        </w:rPr>
      </w:pPr>
      <w:r>
        <w:rPr>
          <w:rFonts w:ascii="Avenir Next" w:hAnsi="Avenir Next"/>
          <w:lang w:val="en-US"/>
        </w:rPr>
        <w:t>An</w:t>
      </w:r>
      <w:r w:rsidR="00A54DA3" w:rsidRPr="00A54DA3">
        <w:rPr>
          <w:rFonts w:ascii="Avenir Next" w:hAnsi="Avenir Next"/>
          <w:lang w:val="en-US"/>
        </w:rPr>
        <w:t xml:space="preserve"> understanding of individual</w:t>
      </w:r>
      <w:r w:rsidR="00A54DA3">
        <w:rPr>
          <w:rFonts w:ascii="Avenir Next" w:hAnsi="Avenir Next"/>
          <w:lang w:val="en-US"/>
        </w:rPr>
        <w:t xml:space="preserve"> </w:t>
      </w:r>
      <w:r w:rsidR="00A54DA3" w:rsidRPr="00A54DA3">
        <w:rPr>
          <w:rFonts w:ascii="Avenir Next" w:hAnsi="Avenir Next"/>
          <w:lang w:val="en-US"/>
        </w:rPr>
        <w:t>differences is beneficial for designing learning activities and routines that affirm</w:t>
      </w:r>
      <w:r w:rsidR="00A54DA3">
        <w:rPr>
          <w:rFonts w:ascii="Avenir Next" w:hAnsi="Avenir Next"/>
          <w:lang w:val="en-US"/>
        </w:rPr>
        <w:t xml:space="preserve"> </w:t>
      </w:r>
      <w:r w:rsidR="00A54DA3" w:rsidRPr="00A54DA3">
        <w:rPr>
          <w:rFonts w:ascii="Avenir Next" w:hAnsi="Avenir Next"/>
          <w:lang w:val="en-US"/>
        </w:rPr>
        <w:t>students’ personal learning preferences and accommodate their learning styles in</w:t>
      </w:r>
      <w:r w:rsidR="00A54DA3">
        <w:rPr>
          <w:rFonts w:ascii="Avenir Next" w:hAnsi="Avenir Next"/>
          <w:lang w:val="en-US"/>
        </w:rPr>
        <w:t xml:space="preserve"> </w:t>
      </w:r>
      <w:r w:rsidR="00A54DA3" w:rsidRPr="00A54DA3">
        <w:rPr>
          <w:rFonts w:ascii="Avenir Next" w:hAnsi="Avenir Next"/>
          <w:lang w:val="en-US"/>
        </w:rPr>
        <w:t>the classroom.</w:t>
      </w:r>
      <w:r>
        <w:rPr>
          <w:rFonts w:ascii="Avenir Next" w:hAnsi="Avenir Next"/>
          <w:lang w:val="en-US"/>
        </w:rPr>
        <w:t xml:space="preserve"> C</w:t>
      </w:r>
      <w:r w:rsidR="00A54DA3" w:rsidRPr="00A54DA3">
        <w:rPr>
          <w:rFonts w:ascii="Avenir Next" w:hAnsi="Avenir Next"/>
          <w:lang w:val="en-US"/>
        </w:rPr>
        <w:t xml:space="preserve">lassroom routines and approaches </w:t>
      </w:r>
      <w:r>
        <w:rPr>
          <w:rFonts w:ascii="Avenir Next" w:hAnsi="Avenir Next"/>
          <w:lang w:val="en-US"/>
        </w:rPr>
        <w:t>should</w:t>
      </w:r>
      <w:r w:rsidR="00A54DA3" w:rsidRPr="00A54DA3">
        <w:rPr>
          <w:rFonts w:ascii="Avenir Next" w:hAnsi="Avenir Next"/>
          <w:lang w:val="en-US"/>
        </w:rPr>
        <w:t xml:space="preserve"> </w:t>
      </w:r>
      <w:r>
        <w:rPr>
          <w:rFonts w:ascii="Avenir Next" w:hAnsi="Avenir Next"/>
          <w:lang w:val="en-US"/>
        </w:rPr>
        <w:t>reflect</w:t>
      </w:r>
      <w:r w:rsidR="00A54DA3" w:rsidRPr="00A54DA3">
        <w:rPr>
          <w:rFonts w:ascii="Avenir Next" w:hAnsi="Avenir Next"/>
          <w:lang w:val="en-US"/>
        </w:rPr>
        <w:t xml:space="preserve"> the diverse needs of all children and youth. </w:t>
      </w:r>
    </w:p>
    <w:p w14:paraId="6BCA5D87" w14:textId="77777777" w:rsidR="00236AFB" w:rsidRPr="00A54DA3" w:rsidRDefault="00236AFB" w:rsidP="00236AFB">
      <w:pPr>
        <w:rPr>
          <w:rFonts w:ascii="Avenir Next" w:hAnsi="Avenir Next"/>
          <w:lang w:val="en-US"/>
        </w:rPr>
      </w:pPr>
    </w:p>
    <w:p w14:paraId="4F671921" w14:textId="7A1E444B" w:rsidR="00A54DA3" w:rsidRDefault="00A54DA3" w:rsidP="00A54DA3">
      <w:pPr>
        <w:rPr>
          <w:rFonts w:ascii="Avenir Next" w:hAnsi="Avenir Next"/>
          <w:lang w:val="en-US"/>
        </w:rPr>
      </w:pPr>
      <w:r w:rsidRPr="00A54DA3">
        <w:rPr>
          <w:rFonts w:ascii="Avenir Next" w:hAnsi="Avenir Next"/>
          <w:lang w:val="en-US"/>
        </w:rPr>
        <w:t xml:space="preserve">According to the </w:t>
      </w:r>
      <w:hyperlink r:id="rId5" w:history="1">
        <w:r w:rsidRPr="00236AFB">
          <w:rPr>
            <w:rStyle w:val="Hyperlink"/>
            <w:rFonts w:ascii="Avenir Next" w:hAnsi="Avenir Next"/>
            <w:lang w:val="en-US"/>
          </w:rPr>
          <w:t>Center for Applied Special Technology</w:t>
        </w:r>
      </w:hyperlink>
      <w:r w:rsidRPr="00A54DA3">
        <w:rPr>
          <w:rFonts w:ascii="Avenir Next" w:hAnsi="Avenir Next"/>
          <w:lang w:val="en-US"/>
        </w:rPr>
        <w:t xml:space="preserve"> (CAST), a nonprofit research and development organization</w:t>
      </w:r>
      <w:r>
        <w:rPr>
          <w:rFonts w:ascii="Avenir Next" w:hAnsi="Avenir Next"/>
          <w:lang w:val="en-US"/>
        </w:rPr>
        <w:t xml:space="preserve"> </w:t>
      </w:r>
      <w:r w:rsidRPr="00A54DA3">
        <w:rPr>
          <w:rFonts w:ascii="Avenir Next" w:hAnsi="Avenir Next"/>
          <w:lang w:val="en-US"/>
        </w:rPr>
        <w:t xml:space="preserve">that works to expand learning opportunities for all individuals, </w:t>
      </w:r>
      <w:r w:rsidR="00236AFB">
        <w:rPr>
          <w:rFonts w:ascii="Avenir Next" w:hAnsi="Avenir Next"/>
          <w:lang w:val="en-US"/>
        </w:rPr>
        <w:t>Universal Design for Learning (</w:t>
      </w:r>
      <w:r w:rsidRPr="00A54DA3">
        <w:rPr>
          <w:rFonts w:ascii="Avenir Next" w:hAnsi="Avenir Next"/>
          <w:lang w:val="en-US"/>
        </w:rPr>
        <w:t>UDL</w:t>
      </w:r>
      <w:r w:rsidR="00236AFB">
        <w:rPr>
          <w:rFonts w:ascii="Avenir Next" w:hAnsi="Avenir Next"/>
          <w:lang w:val="en-US"/>
        </w:rPr>
        <w:t>)</w:t>
      </w:r>
      <w:r w:rsidRPr="00A54DA3">
        <w:rPr>
          <w:rFonts w:ascii="Avenir Next" w:hAnsi="Avenir Next"/>
          <w:lang w:val="en-US"/>
        </w:rPr>
        <w:t xml:space="preserve"> is based on three</w:t>
      </w:r>
      <w:r>
        <w:rPr>
          <w:rFonts w:ascii="Avenir Next" w:hAnsi="Avenir Next"/>
          <w:lang w:val="en-US"/>
        </w:rPr>
        <w:t xml:space="preserve"> </w:t>
      </w:r>
      <w:r w:rsidRPr="00A54DA3">
        <w:rPr>
          <w:rFonts w:ascii="Avenir Next" w:hAnsi="Avenir Next"/>
          <w:lang w:val="en-US"/>
        </w:rPr>
        <w:t>primary principles:</w:t>
      </w:r>
    </w:p>
    <w:p w14:paraId="4FCEF537" w14:textId="77777777" w:rsidR="00A54DA3" w:rsidRPr="00A54DA3" w:rsidRDefault="00A54DA3" w:rsidP="00A54DA3">
      <w:pPr>
        <w:rPr>
          <w:rFonts w:ascii="Avenir Next" w:hAnsi="Avenir Next"/>
          <w:lang w:val="en-US"/>
        </w:rPr>
      </w:pPr>
    </w:p>
    <w:p w14:paraId="7A235A82" w14:textId="77777777" w:rsidR="00A54DA3" w:rsidRDefault="00A54DA3" w:rsidP="00A54DA3">
      <w:pPr>
        <w:pStyle w:val="ListParagraph"/>
        <w:numPr>
          <w:ilvl w:val="0"/>
          <w:numId w:val="12"/>
        </w:numPr>
        <w:rPr>
          <w:rFonts w:ascii="Avenir Next" w:hAnsi="Avenir Next"/>
          <w:lang w:val="en-US"/>
        </w:rPr>
      </w:pPr>
      <w:r w:rsidRPr="00A54DA3">
        <w:rPr>
          <w:rFonts w:ascii="Avenir Next" w:hAnsi="Avenir Next"/>
          <w:lang w:val="en-US"/>
        </w:rPr>
        <w:t>Multiple means of representation, to give diverse learners options for acquiring</w:t>
      </w:r>
      <w:r>
        <w:rPr>
          <w:rFonts w:ascii="Avenir Next" w:hAnsi="Avenir Next"/>
          <w:lang w:val="en-US"/>
        </w:rPr>
        <w:t xml:space="preserve"> </w:t>
      </w:r>
      <w:r w:rsidRPr="00A54DA3">
        <w:rPr>
          <w:rFonts w:ascii="Avenir Next" w:hAnsi="Avenir Next"/>
          <w:lang w:val="en-US"/>
        </w:rPr>
        <w:t>information and knowledge</w:t>
      </w:r>
    </w:p>
    <w:p w14:paraId="30B6F120" w14:textId="6E7602B5" w:rsidR="00A54DA3" w:rsidRPr="00A54DA3" w:rsidRDefault="00A54DA3" w:rsidP="00A54DA3">
      <w:pPr>
        <w:pStyle w:val="ListParagraph"/>
        <w:numPr>
          <w:ilvl w:val="0"/>
          <w:numId w:val="12"/>
        </w:numPr>
        <w:rPr>
          <w:rFonts w:ascii="Avenir Next" w:hAnsi="Avenir Next"/>
          <w:lang w:val="en-US"/>
        </w:rPr>
      </w:pPr>
      <w:r w:rsidRPr="00A54DA3">
        <w:rPr>
          <w:rFonts w:ascii="Avenir Next" w:hAnsi="Avenir Next"/>
          <w:lang w:val="en-US"/>
        </w:rPr>
        <w:t>Multiple means of action and expression, to provide learners options for</w:t>
      </w:r>
      <w:r>
        <w:rPr>
          <w:rFonts w:ascii="Avenir Next" w:hAnsi="Avenir Next"/>
          <w:lang w:val="en-US"/>
        </w:rPr>
        <w:t xml:space="preserve"> </w:t>
      </w:r>
      <w:r w:rsidRPr="00A54DA3">
        <w:rPr>
          <w:rFonts w:ascii="Avenir Next" w:hAnsi="Avenir Next"/>
          <w:lang w:val="en-US"/>
        </w:rPr>
        <w:t>demonstrating what they know</w:t>
      </w:r>
    </w:p>
    <w:p w14:paraId="5481A2CC" w14:textId="6967B62A" w:rsidR="00A54DA3" w:rsidRDefault="00A54DA3" w:rsidP="00A54DA3">
      <w:pPr>
        <w:pStyle w:val="ListParagraph"/>
        <w:numPr>
          <w:ilvl w:val="0"/>
          <w:numId w:val="14"/>
        </w:numPr>
        <w:rPr>
          <w:rFonts w:ascii="Avenir Next" w:hAnsi="Avenir Next"/>
          <w:lang w:val="en-US"/>
        </w:rPr>
      </w:pPr>
      <w:r w:rsidRPr="00236AFB">
        <w:rPr>
          <w:rFonts w:ascii="Avenir Next" w:hAnsi="Avenir Next"/>
          <w:lang w:val="en-US"/>
        </w:rPr>
        <w:t xml:space="preserve">Multiple means of engagement, to tap into learners’ interests, offer appropriate challenges, and increase motivation </w:t>
      </w:r>
    </w:p>
    <w:p w14:paraId="6AC6F448" w14:textId="77777777" w:rsidR="00236AFB" w:rsidRPr="00236AFB" w:rsidRDefault="00236AFB" w:rsidP="00236AFB">
      <w:pPr>
        <w:pStyle w:val="ListParagraph"/>
        <w:rPr>
          <w:rFonts w:ascii="Avenir Next" w:hAnsi="Avenir Next"/>
          <w:lang w:val="en-US"/>
        </w:rPr>
      </w:pPr>
    </w:p>
    <w:p w14:paraId="563EE5B3" w14:textId="132D8630" w:rsidR="00A54DA3" w:rsidRPr="00A54DA3" w:rsidRDefault="00A54DA3" w:rsidP="00A54DA3">
      <w:pPr>
        <w:rPr>
          <w:rFonts w:ascii="Avenir Next" w:hAnsi="Avenir Next"/>
          <w:lang w:val="en-US"/>
        </w:rPr>
      </w:pPr>
      <w:r w:rsidRPr="00A54DA3">
        <w:rPr>
          <w:rFonts w:ascii="Avenir Next" w:hAnsi="Avenir Next"/>
          <w:lang w:val="en-US"/>
        </w:rPr>
        <w:t>The application of these principles in the design of instructional materials and</w:t>
      </w:r>
    </w:p>
    <w:p w14:paraId="4019D877" w14:textId="373FD9EA" w:rsidR="00A54DA3" w:rsidRDefault="00A54DA3" w:rsidP="00A54DA3">
      <w:pPr>
        <w:rPr>
          <w:rFonts w:ascii="Avenir Next" w:hAnsi="Avenir Next"/>
          <w:lang w:val="en-US"/>
        </w:rPr>
      </w:pPr>
      <w:r w:rsidRPr="00A54DA3">
        <w:rPr>
          <w:rFonts w:ascii="Avenir Next" w:hAnsi="Avenir Next"/>
          <w:lang w:val="en-US"/>
        </w:rPr>
        <w:t xml:space="preserve">activities </w:t>
      </w:r>
      <w:proofErr w:type="gramStart"/>
      <w:r w:rsidRPr="00A54DA3">
        <w:rPr>
          <w:rFonts w:ascii="Avenir Next" w:hAnsi="Avenir Next"/>
          <w:lang w:val="en-US"/>
        </w:rPr>
        <w:t>involves</w:t>
      </w:r>
      <w:proofErr w:type="gramEnd"/>
      <w:r w:rsidRPr="00A54DA3">
        <w:rPr>
          <w:rFonts w:ascii="Avenir Next" w:hAnsi="Avenir Next"/>
          <w:lang w:val="en-US"/>
        </w:rPr>
        <w:t xml:space="preserve"> the consideration of accessibility, fairness and flexibility, and teacher</w:t>
      </w:r>
      <w:r>
        <w:rPr>
          <w:rFonts w:ascii="Avenir Next" w:hAnsi="Avenir Next"/>
          <w:lang w:val="en-US"/>
        </w:rPr>
        <w:t xml:space="preserve"> </w:t>
      </w:r>
      <w:r w:rsidRPr="00A54DA3">
        <w:rPr>
          <w:rFonts w:ascii="Avenir Next" w:hAnsi="Avenir Next"/>
          <w:lang w:val="en-US"/>
        </w:rPr>
        <w:t>communications that are straightforward, consistent and explicit. In addition, the UDL</w:t>
      </w:r>
      <w:r>
        <w:rPr>
          <w:rFonts w:ascii="Avenir Next" w:hAnsi="Avenir Next"/>
          <w:lang w:val="en-US"/>
        </w:rPr>
        <w:t xml:space="preserve"> </w:t>
      </w:r>
      <w:r w:rsidRPr="00A54DA3">
        <w:rPr>
          <w:rFonts w:ascii="Avenir Next" w:hAnsi="Avenir Next"/>
          <w:lang w:val="en-US"/>
        </w:rPr>
        <w:t>approach is characterized by learning environments that are supportive, that minimize</w:t>
      </w:r>
      <w:r>
        <w:rPr>
          <w:rFonts w:ascii="Avenir Next" w:hAnsi="Avenir Next"/>
          <w:lang w:val="en-US"/>
        </w:rPr>
        <w:t xml:space="preserve"> </w:t>
      </w:r>
      <w:r w:rsidRPr="00A54DA3">
        <w:rPr>
          <w:rFonts w:ascii="Avenir Next" w:hAnsi="Avenir Next"/>
          <w:lang w:val="en-US"/>
        </w:rPr>
        <w:t>unnecessary physical barriers, and that accommodate students through multiple</w:t>
      </w:r>
      <w:r>
        <w:rPr>
          <w:rFonts w:ascii="Avenir Next" w:hAnsi="Avenir Next"/>
          <w:lang w:val="en-US"/>
        </w:rPr>
        <w:t xml:space="preserve"> </w:t>
      </w:r>
      <w:r w:rsidRPr="00A54DA3">
        <w:rPr>
          <w:rFonts w:ascii="Avenir Next" w:hAnsi="Avenir Next"/>
          <w:lang w:val="en-US"/>
        </w:rPr>
        <w:t>teaching methods</w:t>
      </w:r>
      <w:r w:rsidR="00236AFB">
        <w:rPr>
          <w:rFonts w:ascii="Avenir Next" w:hAnsi="Avenir Next"/>
          <w:lang w:val="en-US"/>
        </w:rPr>
        <w:t>.</w:t>
      </w:r>
      <w:r w:rsidRPr="00A54DA3">
        <w:rPr>
          <w:rFonts w:ascii="Avenir Next" w:hAnsi="Avenir Next"/>
          <w:lang w:val="en-US"/>
        </w:rPr>
        <w:t xml:space="preserve"> </w:t>
      </w:r>
    </w:p>
    <w:p w14:paraId="1C1CC24A" w14:textId="77777777" w:rsidR="00A54DA3" w:rsidRPr="00A54DA3" w:rsidRDefault="00A54DA3" w:rsidP="00A54DA3">
      <w:pPr>
        <w:rPr>
          <w:rFonts w:ascii="Avenir Next" w:hAnsi="Avenir Next"/>
          <w:lang w:val="en-US"/>
        </w:rPr>
      </w:pPr>
    </w:p>
    <w:p w14:paraId="2895F2AF" w14:textId="77777777" w:rsidR="00A54DA3" w:rsidRPr="00BC7807" w:rsidRDefault="00A54DA3" w:rsidP="00A54DA3">
      <w:pP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  <w:r w:rsidRPr="00BC7807">
        <w:rPr>
          <w:rFonts w:ascii="Avenir Next" w:eastAsiaTheme="majorEastAsia" w:hAnsi="Avenir Next" w:cstheme="majorBidi"/>
          <w:color w:val="0F4761" w:themeColor="accent1" w:themeShade="BF"/>
          <w:lang w:val="en-US"/>
        </w:rPr>
        <w:t>Culturally Relevant Practices</w:t>
      </w:r>
    </w:p>
    <w:p w14:paraId="76E99E2B" w14:textId="2C91B452" w:rsidR="00A54DA3" w:rsidRDefault="00A54DA3" w:rsidP="00A54DA3">
      <w:pPr>
        <w:rPr>
          <w:rFonts w:ascii="Avenir Next" w:hAnsi="Avenir Next"/>
          <w:lang w:val="en-US"/>
        </w:rPr>
      </w:pPr>
      <w:r w:rsidRPr="00A54DA3">
        <w:rPr>
          <w:rFonts w:ascii="Avenir Next" w:hAnsi="Avenir Next"/>
          <w:lang w:val="en-US"/>
        </w:rPr>
        <w:t>In inclusive classrooms, teachers strive to be responsive to students on both individual</w:t>
      </w:r>
      <w:r>
        <w:rPr>
          <w:rFonts w:ascii="Avenir Next" w:hAnsi="Avenir Next"/>
          <w:lang w:val="en-US"/>
        </w:rPr>
        <w:t xml:space="preserve"> </w:t>
      </w:r>
      <w:r w:rsidRPr="00A54DA3">
        <w:rPr>
          <w:rFonts w:ascii="Avenir Next" w:hAnsi="Avenir Next"/>
          <w:lang w:val="en-US"/>
        </w:rPr>
        <w:t>and cultural levels. The actual degree of inclusiveness is often significantly affected by</w:t>
      </w:r>
      <w:r>
        <w:rPr>
          <w:rFonts w:ascii="Avenir Next" w:hAnsi="Avenir Next"/>
          <w:lang w:val="en-US"/>
        </w:rPr>
        <w:t xml:space="preserve"> </w:t>
      </w:r>
      <w:r w:rsidRPr="00A54DA3">
        <w:rPr>
          <w:rFonts w:ascii="Avenir Next" w:hAnsi="Avenir Next"/>
          <w:lang w:val="en-US"/>
        </w:rPr>
        <w:t>the types of interactions that take place among students and teachers in the learning</w:t>
      </w:r>
      <w:r>
        <w:rPr>
          <w:rFonts w:ascii="Avenir Next" w:hAnsi="Avenir Next"/>
          <w:lang w:val="en-US"/>
        </w:rPr>
        <w:t xml:space="preserve"> </w:t>
      </w:r>
      <w:r w:rsidRPr="00A54DA3">
        <w:rPr>
          <w:rFonts w:ascii="Avenir Next" w:hAnsi="Avenir Next"/>
          <w:lang w:val="en-US"/>
        </w:rPr>
        <w:t xml:space="preserve">context. </w:t>
      </w:r>
      <w:r w:rsidR="00F263D4">
        <w:rPr>
          <w:rFonts w:ascii="Avenir Next" w:hAnsi="Avenir Next"/>
          <w:lang w:val="en-US"/>
        </w:rPr>
        <w:t>These</w:t>
      </w:r>
      <w:r w:rsidRPr="00A54DA3">
        <w:rPr>
          <w:rFonts w:ascii="Avenir Next" w:hAnsi="Avenir Next"/>
          <w:lang w:val="en-US"/>
        </w:rPr>
        <w:t xml:space="preserve"> interactions may be influenced by:</w:t>
      </w:r>
    </w:p>
    <w:p w14:paraId="5AE765A7" w14:textId="77777777" w:rsidR="00A54DA3" w:rsidRPr="00A54DA3" w:rsidRDefault="00A54DA3" w:rsidP="00A54DA3">
      <w:pPr>
        <w:rPr>
          <w:rFonts w:ascii="Avenir Next" w:hAnsi="Avenir Next"/>
          <w:lang w:val="en-US"/>
        </w:rPr>
      </w:pPr>
    </w:p>
    <w:p w14:paraId="7B65DAD1" w14:textId="63DF08E7" w:rsidR="00A54DA3" w:rsidRPr="00A54DA3" w:rsidRDefault="00A54DA3" w:rsidP="00A54DA3">
      <w:pPr>
        <w:pStyle w:val="ListParagraph"/>
        <w:numPr>
          <w:ilvl w:val="0"/>
          <w:numId w:val="14"/>
        </w:numPr>
        <w:rPr>
          <w:rFonts w:ascii="Avenir Next" w:hAnsi="Avenir Next"/>
          <w:lang w:val="en-US"/>
        </w:rPr>
      </w:pPr>
      <w:r w:rsidRPr="00A54DA3">
        <w:rPr>
          <w:rFonts w:ascii="Avenir Next" w:hAnsi="Avenir Next"/>
          <w:lang w:val="en-US"/>
        </w:rPr>
        <w:t>Curriculum content</w:t>
      </w:r>
    </w:p>
    <w:p w14:paraId="4992341D" w14:textId="1E4696B3" w:rsidR="00A54DA3" w:rsidRPr="00A54DA3" w:rsidRDefault="00A54DA3" w:rsidP="00A54DA3">
      <w:pPr>
        <w:pStyle w:val="ListParagraph"/>
        <w:numPr>
          <w:ilvl w:val="0"/>
          <w:numId w:val="14"/>
        </w:numPr>
        <w:rPr>
          <w:rFonts w:ascii="Avenir Next" w:hAnsi="Avenir Next"/>
          <w:lang w:val="en-US"/>
        </w:rPr>
      </w:pPr>
      <w:r w:rsidRPr="00A54DA3">
        <w:rPr>
          <w:rFonts w:ascii="Avenir Next" w:hAnsi="Avenir Next"/>
          <w:lang w:val="en-US"/>
        </w:rPr>
        <w:lastRenderedPageBreak/>
        <w:t>Prior teacher and student assumptions and awareness of potential multicultural themes and issues</w:t>
      </w:r>
    </w:p>
    <w:p w14:paraId="08E61C99" w14:textId="7B0F3C46" w:rsidR="00A54DA3" w:rsidRPr="00A54DA3" w:rsidRDefault="00A54DA3" w:rsidP="00A54DA3">
      <w:pPr>
        <w:pStyle w:val="ListParagraph"/>
        <w:numPr>
          <w:ilvl w:val="0"/>
          <w:numId w:val="14"/>
        </w:numPr>
        <w:rPr>
          <w:rFonts w:ascii="Avenir Next" w:hAnsi="Avenir Next"/>
          <w:lang w:val="en-US"/>
        </w:rPr>
      </w:pPr>
      <w:r w:rsidRPr="00A54DA3">
        <w:rPr>
          <w:rFonts w:ascii="Avenir Next" w:hAnsi="Avenir Next"/>
          <w:lang w:val="en-US"/>
        </w:rPr>
        <w:t>Instructional plans including the ways students are grouped for learning</w:t>
      </w:r>
    </w:p>
    <w:p w14:paraId="7EE3C7CF" w14:textId="27559D85" w:rsidR="00A54DA3" w:rsidRPr="00A54DA3" w:rsidRDefault="00A54DA3" w:rsidP="00A54DA3">
      <w:pPr>
        <w:pStyle w:val="ListParagraph"/>
        <w:numPr>
          <w:ilvl w:val="0"/>
          <w:numId w:val="14"/>
        </w:numPr>
        <w:rPr>
          <w:rFonts w:ascii="Avenir Next" w:hAnsi="Avenir Next"/>
          <w:lang w:val="en-US"/>
        </w:rPr>
      </w:pPr>
      <w:r w:rsidRPr="00A54DA3">
        <w:rPr>
          <w:rFonts w:ascii="Avenir Next" w:hAnsi="Avenir Next"/>
          <w:lang w:val="en-US"/>
        </w:rPr>
        <w:t>Teachers’ knowledge about the diverse backgrounds of students</w:t>
      </w:r>
    </w:p>
    <w:p w14:paraId="0375532E" w14:textId="61B6EA18" w:rsidR="00A54DA3" w:rsidRPr="00A54DA3" w:rsidRDefault="00A54DA3" w:rsidP="00A54DA3">
      <w:pPr>
        <w:pStyle w:val="ListParagraph"/>
        <w:numPr>
          <w:ilvl w:val="0"/>
          <w:numId w:val="14"/>
        </w:numPr>
        <w:rPr>
          <w:rFonts w:ascii="Avenir Next" w:hAnsi="Avenir Next"/>
          <w:lang w:val="en-US"/>
        </w:rPr>
      </w:pPr>
      <w:r w:rsidRPr="00A54DA3">
        <w:rPr>
          <w:rFonts w:ascii="Avenir Next" w:hAnsi="Avenir Next"/>
          <w:lang w:val="en-US"/>
        </w:rPr>
        <w:t>Teachers’ decisions, comments and behavio</w:t>
      </w:r>
      <w:r w:rsidR="00236AFB">
        <w:rPr>
          <w:rFonts w:ascii="Avenir Next" w:hAnsi="Avenir Next"/>
          <w:lang w:val="en-US"/>
        </w:rPr>
        <w:t>u</w:t>
      </w:r>
      <w:r w:rsidRPr="00A54DA3">
        <w:rPr>
          <w:rFonts w:ascii="Avenir Next" w:hAnsi="Avenir Next"/>
          <w:lang w:val="en-US"/>
        </w:rPr>
        <w:t>rs during the process of teaching</w:t>
      </w:r>
    </w:p>
    <w:p w14:paraId="680BAA15" w14:textId="57E61A19" w:rsidR="00A54DA3" w:rsidRDefault="00A54DA3" w:rsidP="00A54DA3">
      <w:pPr>
        <w:rPr>
          <w:rFonts w:ascii="Avenir Next" w:hAnsi="Avenir Next"/>
          <w:lang w:val="en-US"/>
        </w:rPr>
      </w:pPr>
    </w:p>
    <w:p w14:paraId="2C6072BA" w14:textId="14D1A4E8" w:rsidR="00A54DA3" w:rsidRDefault="00236AFB" w:rsidP="00A54DA3">
      <w:pPr>
        <w:rPr>
          <w:rFonts w:ascii="Avenir Next" w:hAnsi="Avenir Next"/>
          <w:lang w:val="en-US"/>
        </w:rPr>
      </w:pPr>
      <w:r>
        <w:rPr>
          <w:rFonts w:ascii="Avenir Next" w:hAnsi="Avenir Next"/>
          <w:lang w:val="en-US"/>
        </w:rPr>
        <w:t>Schools</w:t>
      </w:r>
      <w:r w:rsidR="00A54DA3" w:rsidRPr="00A54DA3">
        <w:rPr>
          <w:rFonts w:ascii="Avenir Next" w:hAnsi="Avenir Next"/>
          <w:lang w:val="en-US"/>
        </w:rPr>
        <w:t xml:space="preserve"> can create opportunities for increasing</w:t>
      </w:r>
      <w:r w:rsidR="00A54DA3">
        <w:rPr>
          <w:rFonts w:ascii="Avenir Next" w:hAnsi="Avenir Next"/>
          <w:lang w:val="en-US"/>
        </w:rPr>
        <w:t xml:space="preserve"> </w:t>
      </w:r>
      <w:r w:rsidR="00A54DA3" w:rsidRPr="00A54DA3">
        <w:rPr>
          <w:rFonts w:ascii="Avenir Next" w:hAnsi="Avenir Next"/>
          <w:lang w:val="en-US"/>
        </w:rPr>
        <w:t>understanding and appreciation of cultural diversity among students within the</w:t>
      </w:r>
      <w:r w:rsidR="00A54DA3">
        <w:rPr>
          <w:rFonts w:ascii="Avenir Next" w:hAnsi="Avenir Next"/>
          <w:lang w:val="en-US"/>
        </w:rPr>
        <w:t xml:space="preserve"> </w:t>
      </w:r>
      <w:r w:rsidR="00A54DA3" w:rsidRPr="00A54DA3">
        <w:rPr>
          <w:rFonts w:ascii="Avenir Next" w:hAnsi="Avenir Next"/>
          <w:lang w:val="en-US"/>
        </w:rPr>
        <w:t>classroom context by:</w:t>
      </w:r>
    </w:p>
    <w:p w14:paraId="115AA6B8" w14:textId="77777777" w:rsidR="00A54DA3" w:rsidRPr="00A54DA3" w:rsidRDefault="00A54DA3" w:rsidP="00A54DA3">
      <w:pPr>
        <w:rPr>
          <w:rFonts w:ascii="Avenir Next" w:hAnsi="Avenir Next"/>
          <w:lang w:val="en-US"/>
        </w:rPr>
      </w:pPr>
    </w:p>
    <w:p w14:paraId="1C447BB6" w14:textId="5220A38A" w:rsidR="00A54DA3" w:rsidRPr="00A54DA3" w:rsidRDefault="00A54DA3" w:rsidP="00A54DA3">
      <w:pPr>
        <w:pStyle w:val="ListParagraph"/>
        <w:numPr>
          <w:ilvl w:val="0"/>
          <w:numId w:val="14"/>
        </w:numPr>
        <w:rPr>
          <w:rFonts w:ascii="Avenir Next" w:hAnsi="Avenir Next"/>
          <w:lang w:val="en-US"/>
        </w:rPr>
      </w:pPr>
      <w:r w:rsidRPr="00A54DA3">
        <w:rPr>
          <w:rFonts w:ascii="Avenir Next" w:hAnsi="Avenir Next"/>
          <w:lang w:val="en-US"/>
        </w:rPr>
        <w:t>Presenting more than singular perspectives on classroom discussion topics and</w:t>
      </w:r>
      <w:r>
        <w:rPr>
          <w:rFonts w:ascii="Avenir Next" w:hAnsi="Avenir Next"/>
          <w:lang w:val="en-US"/>
        </w:rPr>
        <w:t xml:space="preserve"> </w:t>
      </w:r>
      <w:r w:rsidRPr="00A54DA3">
        <w:rPr>
          <w:rFonts w:ascii="Avenir Next" w:hAnsi="Avenir Next"/>
          <w:lang w:val="en-US"/>
        </w:rPr>
        <w:t>including perspectives from individuals with varied backgrounds and experiences</w:t>
      </w:r>
    </w:p>
    <w:p w14:paraId="36BDF229" w14:textId="49C1C355" w:rsidR="00A54DA3" w:rsidRPr="00A54DA3" w:rsidRDefault="00A54DA3" w:rsidP="00A54DA3">
      <w:pPr>
        <w:pStyle w:val="ListParagraph"/>
        <w:numPr>
          <w:ilvl w:val="0"/>
          <w:numId w:val="16"/>
        </w:numPr>
        <w:rPr>
          <w:rFonts w:ascii="Avenir Next" w:hAnsi="Avenir Next"/>
          <w:lang w:val="en-US"/>
        </w:rPr>
      </w:pPr>
      <w:r w:rsidRPr="00A54DA3">
        <w:rPr>
          <w:rFonts w:ascii="Avenir Next" w:hAnsi="Avenir Next"/>
          <w:lang w:val="en-US"/>
        </w:rPr>
        <w:t>Inviting students, as well as their family members to act as resources of knowledge</w:t>
      </w:r>
      <w:r>
        <w:rPr>
          <w:rFonts w:ascii="Avenir Next" w:hAnsi="Avenir Next"/>
          <w:lang w:val="en-US"/>
        </w:rPr>
        <w:t xml:space="preserve"> </w:t>
      </w:r>
      <w:r w:rsidRPr="00A54DA3">
        <w:rPr>
          <w:rFonts w:ascii="Avenir Next" w:hAnsi="Avenir Next"/>
          <w:lang w:val="en-US"/>
        </w:rPr>
        <w:t>for sharing culturally relevant traditions and practices</w:t>
      </w:r>
    </w:p>
    <w:p w14:paraId="0825BF3F" w14:textId="27A2C34E" w:rsidR="00A54DA3" w:rsidRPr="00A54DA3" w:rsidRDefault="00A54DA3" w:rsidP="00A54DA3">
      <w:pPr>
        <w:pStyle w:val="ListParagraph"/>
        <w:numPr>
          <w:ilvl w:val="0"/>
          <w:numId w:val="16"/>
        </w:numPr>
        <w:rPr>
          <w:rFonts w:ascii="Avenir Next" w:hAnsi="Avenir Next"/>
          <w:lang w:val="en-US"/>
        </w:rPr>
      </w:pPr>
      <w:r w:rsidRPr="00A54DA3">
        <w:rPr>
          <w:rFonts w:ascii="Avenir Next" w:hAnsi="Avenir Next"/>
          <w:lang w:val="en-US"/>
        </w:rPr>
        <w:t>Making the classroom an inviting space through regular opportunities for dialogue</w:t>
      </w:r>
      <w:r>
        <w:rPr>
          <w:rFonts w:ascii="Avenir Next" w:hAnsi="Avenir Next"/>
          <w:lang w:val="en-US"/>
        </w:rPr>
        <w:t xml:space="preserve"> </w:t>
      </w:r>
      <w:r w:rsidRPr="00A54DA3">
        <w:rPr>
          <w:rFonts w:ascii="Avenir Next" w:hAnsi="Avenir Next"/>
          <w:lang w:val="en-US"/>
        </w:rPr>
        <w:t>among students, family members and members of the wider community</w:t>
      </w:r>
    </w:p>
    <w:p w14:paraId="2B2696CD" w14:textId="2135A247" w:rsidR="00A54DA3" w:rsidRPr="00A54DA3" w:rsidRDefault="00A54DA3" w:rsidP="00A54DA3">
      <w:pPr>
        <w:pStyle w:val="ListParagraph"/>
        <w:numPr>
          <w:ilvl w:val="0"/>
          <w:numId w:val="16"/>
        </w:numPr>
        <w:rPr>
          <w:rFonts w:ascii="Avenir Next" w:hAnsi="Avenir Next"/>
          <w:lang w:val="en-US"/>
        </w:rPr>
      </w:pPr>
      <w:r w:rsidRPr="00A54DA3">
        <w:rPr>
          <w:rFonts w:ascii="Avenir Next" w:hAnsi="Avenir Next"/>
          <w:lang w:val="en-US"/>
        </w:rPr>
        <w:t>Using multicultural literature as a resource for understanding key perspectives</w:t>
      </w:r>
    </w:p>
    <w:p w14:paraId="6C279BE4" w14:textId="77777777" w:rsidR="00140F91" w:rsidRDefault="00140F91" w:rsidP="00140F91">
      <w:pPr>
        <w:rPr>
          <w:rFonts w:ascii="Avenir Next" w:hAnsi="Avenir Next"/>
          <w:lang w:val="en-US"/>
        </w:rPr>
      </w:pPr>
    </w:p>
    <w:p w14:paraId="134A4955" w14:textId="77777777" w:rsidR="00BC7807" w:rsidRDefault="00140F91" w:rsidP="00140F91">
      <w:pP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  <w:r w:rsidRPr="00BC7807">
        <w:rPr>
          <w:rFonts w:ascii="Avenir Next" w:eastAsiaTheme="majorEastAsia" w:hAnsi="Avenir Next" w:cstheme="majorBidi"/>
          <w:color w:val="0F4761" w:themeColor="accent1" w:themeShade="BF"/>
          <w:lang w:val="en-US"/>
        </w:rPr>
        <w:t>Autonomy-Supportive Practices</w:t>
      </w:r>
    </w:p>
    <w:p w14:paraId="7DBE835B" w14:textId="657128D8" w:rsidR="00140F91" w:rsidRPr="00140F91" w:rsidRDefault="00F263D4" w:rsidP="00140F91">
      <w:pPr>
        <w:rPr>
          <w:rFonts w:ascii="Avenir Next" w:hAnsi="Avenir Next"/>
          <w:lang w:val="en-US"/>
        </w:rPr>
      </w:pPr>
      <w:r>
        <w:rPr>
          <w:rFonts w:ascii="Avenir Next" w:hAnsi="Avenir Next"/>
          <w:lang w:val="en-US"/>
        </w:rPr>
        <w:t>Students</w:t>
      </w:r>
      <w:r w:rsidR="00140F91" w:rsidRPr="00140F91">
        <w:rPr>
          <w:rFonts w:ascii="Avenir Next" w:hAnsi="Avenir Next"/>
          <w:lang w:val="en-US"/>
        </w:rPr>
        <w:t xml:space="preserve"> possess inner motivational resources that may be supported or</w:t>
      </w:r>
    </w:p>
    <w:p w14:paraId="4F5DC491" w14:textId="2B3C249E" w:rsidR="00140F91" w:rsidRDefault="00140F91" w:rsidP="00F263D4">
      <w:p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 xml:space="preserve">impeded by conditions they experience in </w:t>
      </w:r>
      <w:r w:rsidR="00F263D4">
        <w:rPr>
          <w:rFonts w:ascii="Avenir Next" w:hAnsi="Avenir Next"/>
          <w:lang w:val="en-US"/>
        </w:rPr>
        <w:t>school</w:t>
      </w:r>
      <w:r w:rsidRPr="00140F91">
        <w:rPr>
          <w:rFonts w:ascii="Avenir Next" w:hAnsi="Avenir Next"/>
          <w:lang w:val="en-US"/>
        </w:rPr>
        <w:t xml:space="preserve">. </w:t>
      </w:r>
      <w:r w:rsidR="00F263D4">
        <w:rPr>
          <w:rFonts w:ascii="Avenir Next" w:hAnsi="Avenir Next"/>
          <w:lang w:val="en-US"/>
        </w:rPr>
        <w:t>T</w:t>
      </w:r>
      <w:r w:rsidRPr="00140F91">
        <w:rPr>
          <w:rFonts w:ascii="Avenir Next" w:hAnsi="Avenir Next"/>
          <w:lang w:val="en-US"/>
        </w:rPr>
        <w:t>eachers who adopt autonomy-supportive approaches</w:t>
      </w:r>
      <w:r>
        <w:rPr>
          <w:rFonts w:ascii="Avenir Next" w:hAnsi="Avenir Next"/>
          <w:lang w:val="en-US"/>
        </w:rPr>
        <w:t xml:space="preserve"> </w:t>
      </w:r>
      <w:r w:rsidRPr="00140F91">
        <w:rPr>
          <w:rFonts w:ascii="Avenir Next" w:hAnsi="Avenir Next"/>
          <w:lang w:val="en-US"/>
        </w:rPr>
        <w:t xml:space="preserve">plan instruction strategies that engage and nurture </w:t>
      </w:r>
      <w:r w:rsidR="00F263D4">
        <w:rPr>
          <w:rFonts w:ascii="Avenir Next" w:hAnsi="Avenir Next"/>
          <w:lang w:val="en-US"/>
        </w:rPr>
        <w:t>students’</w:t>
      </w:r>
      <w:r w:rsidRPr="00140F91">
        <w:rPr>
          <w:rFonts w:ascii="Avenir Next" w:hAnsi="Avenir Next"/>
          <w:lang w:val="en-US"/>
        </w:rPr>
        <w:t xml:space="preserve"> inner resources. In contrast,</w:t>
      </w:r>
      <w:r>
        <w:rPr>
          <w:rFonts w:ascii="Avenir Next" w:hAnsi="Avenir Next"/>
          <w:lang w:val="en-US"/>
        </w:rPr>
        <w:t xml:space="preserve"> </w:t>
      </w:r>
      <w:r w:rsidRPr="00140F91">
        <w:rPr>
          <w:rFonts w:ascii="Avenir Next" w:hAnsi="Avenir Next"/>
          <w:lang w:val="en-US"/>
        </w:rPr>
        <w:t xml:space="preserve">more controlling educational </w:t>
      </w:r>
      <w:r w:rsidR="00F263D4">
        <w:rPr>
          <w:rFonts w:ascii="Avenir Next" w:hAnsi="Avenir Next"/>
          <w:lang w:val="en-US"/>
        </w:rPr>
        <w:t>environments can</w:t>
      </w:r>
      <w:r w:rsidRPr="00140F91">
        <w:rPr>
          <w:rFonts w:ascii="Avenir Next" w:hAnsi="Avenir Next"/>
          <w:lang w:val="en-US"/>
        </w:rPr>
        <w:t xml:space="preserve"> impede or thwart </w:t>
      </w:r>
      <w:r w:rsidR="00F263D4">
        <w:rPr>
          <w:rFonts w:ascii="Avenir Next" w:hAnsi="Avenir Next"/>
          <w:lang w:val="en-US"/>
        </w:rPr>
        <w:t>students’</w:t>
      </w:r>
      <w:r w:rsidRPr="00140F91">
        <w:rPr>
          <w:rFonts w:ascii="Avenir Next" w:hAnsi="Avenir Next"/>
          <w:lang w:val="en-US"/>
        </w:rPr>
        <w:t xml:space="preserve"> inner motivation</w:t>
      </w:r>
      <w:r w:rsidR="00F263D4">
        <w:rPr>
          <w:rFonts w:ascii="Avenir Next" w:hAnsi="Avenir Next"/>
          <w:lang w:val="en-US"/>
        </w:rPr>
        <w:t>.</w:t>
      </w:r>
    </w:p>
    <w:p w14:paraId="15D59FFE" w14:textId="77777777" w:rsidR="00F263D4" w:rsidRPr="00140F91" w:rsidRDefault="00F263D4" w:rsidP="00F263D4">
      <w:pPr>
        <w:rPr>
          <w:rFonts w:ascii="Avenir Next" w:hAnsi="Avenir Next"/>
          <w:lang w:val="en-US"/>
        </w:rPr>
      </w:pPr>
    </w:p>
    <w:p w14:paraId="6C5B6122" w14:textId="310E5F1A" w:rsidR="00140F91" w:rsidRDefault="00F263D4" w:rsidP="00140F91">
      <w:pPr>
        <w:rPr>
          <w:rFonts w:ascii="Avenir Next" w:hAnsi="Avenir Next"/>
          <w:lang w:val="en-US"/>
        </w:rPr>
      </w:pPr>
      <w:r>
        <w:rPr>
          <w:rFonts w:ascii="Avenir Next" w:hAnsi="Avenir Next"/>
          <w:lang w:val="en-US"/>
        </w:rPr>
        <w:t xml:space="preserve">Practices </w:t>
      </w:r>
      <w:r w:rsidR="00140F91" w:rsidRPr="00140F91">
        <w:rPr>
          <w:rFonts w:ascii="Avenir Next" w:hAnsi="Avenir Next"/>
          <w:lang w:val="en-US"/>
        </w:rPr>
        <w:t>associated with autonomy-supportive teachers include:</w:t>
      </w:r>
    </w:p>
    <w:p w14:paraId="036FAA28" w14:textId="77777777" w:rsidR="00140F91" w:rsidRPr="00140F91" w:rsidRDefault="00140F91" w:rsidP="00140F91">
      <w:pPr>
        <w:rPr>
          <w:rFonts w:ascii="Avenir Next" w:hAnsi="Avenir Next"/>
          <w:lang w:val="en-US"/>
        </w:rPr>
      </w:pPr>
    </w:p>
    <w:p w14:paraId="08AA46F2" w14:textId="627218FE" w:rsidR="00140F91" w:rsidRPr="00140F91" w:rsidRDefault="00140F91" w:rsidP="00140F91">
      <w:pPr>
        <w:pStyle w:val="ListParagraph"/>
        <w:numPr>
          <w:ilvl w:val="0"/>
          <w:numId w:val="17"/>
        </w:num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Using effective listening skills</w:t>
      </w:r>
    </w:p>
    <w:p w14:paraId="000AE6B1" w14:textId="6CF43011" w:rsidR="00140F91" w:rsidRPr="00140F91" w:rsidRDefault="00140F91" w:rsidP="00140F91">
      <w:pPr>
        <w:pStyle w:val="ListParagraph"/>
        <w:numPr>
          <w:ilvl w:val="0"/>
          <w:numId w:val="17"/>
        </w:num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Communicating information-rich language and avoiding use of controlling words and</w:t>
      </w:r>
      <w:r>
        <w:rPr>
          <w:rFonts w:ascii="Avenir Next" w:hAnsi="Avenir Next"/>
          <w:lang w:val="en-US"/>
        </w:rPr>
        <w:t xml:space="preserve"> </w:t>
      </w:r>
      <w:r w:rsidRPr="00140F91">
        <w:rPr>
          <w:rFonts w:ascii="Avenir Next" w:hAnsi="Avenir Next"/>
          <w:lang w:val="en-US"/>
        </w:rPr>
        <w:t>phrases</w:t>
      </w:r>
    </w:p>
    <w:p w14:paraId="3D40BFD6" w14:textId="3188F5DA" w:rsidR="00140F91" w:rsidRPr="00140F91" w:rsidRDefault="00140F91" w:rsidP="00140F91">
      <w:pPr>
        <w:pStyle w:val="ListParagraph"/>
        <w:numPr>
          <w:ilvl w:val="0"/>
          <w:numId w:val="19"/>
        </w:num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Validating perspectives that are shared or expressed by students</w:t>
      </w:r>
    </w:p>
    <w:p w14:paraId="0880885A" w14:textId="36F7B264" w:rsidR="00140F91" w:rsidRPr="00140F91" w:rsidRDefault="00140F91" w:rsidP="00140F91">
      <w:pPr>
        <w:pStyle w:val="ListParagraph"/>
        <w:numPr>
          <w:ilvl w:val="0"/>
          <w:numId w:val="19"/>
        </w:num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Explaining the value and rationale of given routines which may not be of interest to</w:t>
      </w:r>
      <w:r>
        <w:rPr>
          <w:rFonts w:ascii="Avenir Next" w:hAnsi="Avenir Next"/>
          <w:lang w:val="en-US"/>
        </w:rPr>
        <w:t xml:space="preserve"> </w:t>
      </w:r>
      <w:r w:rsidRPr="00140F91">
        <w:rPr>
          <w:rFonts w:ascii="Avenir Next" w:hAnsi="Avenir Next"/>
          <w:lang w:val="en-US"/>
        </w:rPr>
        <w:t>students</w:t>
      </w:r>
    </w:p>
    <w:p w14:paraId="5E717405" w14:textId="201B34B1" w:rsidR="00140F91" w:rsidRPr="00140F91" w:rsidRDefault="00140F91" w:rsidP="00140F91">
      <w:pPr>
        <w:pStyle w:val="ListParagraph"/>
        <w:numPr>
          <w:ilvl w:val="0"/>
          <w:numId w:val="19"/>
        </w:num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Linking students’ interests, preferences and strengths with learning content and</w:t>
      </w:r>
      <w:r>
        <w:rPr>
          <w:rFonts w:ascii="Avenir Next" w:hAnsi="Avenir Next"/>
          <w:lang w:val="en-US"/>
        </w:rPr>
        <w:t xml:space="preserve"> </w:t>
      </w:r>
      <w:r w:rsidRPr="00140F91">
        <w:rPr>
          <w:rFonts w:ascii="Avenir Next" w:hAnsi="Avenir Next"/>
          <w:lang w:val="en-US"/>
        </w:rPr>
        <w:t>instructional activities</w:t>
      </w:r>
    </w:p>
    <w:p w14:paraId="417CC6F2" w14:textId="5E757297" w:rsidR="00140F91" w:rsidRPr="00140F91" w:rsidRDefault="00140F91" w:rsidP="00140F91">
      <w:pPr>
        <w:pStyle w:val="ListParagraph"/>
        <w:numPr>
          <w:ilvl w:val="0"/>
          <w:numId w:val="19"/>
        </w:num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Creating opportunities for students to design their own approaches for working</w:t>
      </w:r>
    </w:p>
    <w:p w14:paraId="6AE917AA" w14:textId="3FD55592" w:rsidR="00140F91" w:rsidRPr="00140F91" w:rsidRDefault="00140F91" w:rsidP="00140F91">
      <w:pPr>
        <w:pStyle w:val="ListParagraph"/>
        <w:numPr>
          <w:ilvl w:val="0"/>
          <w:numId w:val="19"/>
        </w:num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Providing activities in which students can talk about learning with their peers</w:t>
      </w:r>
    </w:p>
    <w:p w14:paraId="5C370919" w14:textId="0BDED31E" w:rsidR="00140F91" w:rsidRPr="00140F91" w:rsidRDefault="00140F91" w:rsidP="00140F91">
      <w:pPr>
        <w:pStyle w:val="ListParagraph"/>
        <w:numPr>
          <w:ilvl w:val="0"/>
          <w:numId w:val="19"/>
        </w:num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lastRenderedPageBreak/>
        <w:t>Organizing learning materials and seating arrangements so students can work with</w:t>
      </w:r>
      <w:r>
        <w:rPr>
          <w:rFonts w:ascii="Avenir Next" w:hAnsi="Avenir Next"/>
          <w:lang w:val="en-US"/>
        </w:rPr>
        <w:t xml:space="preserve"> </w:t>
      </w:r>
      <w:r w:rsidRPr="00140F91">
        <w:rPr>
          <w:rFonts w:ascii="Avenir Next" w:hAnsi="Avenir Next"/>
          <w:lang w:val="en-US"/>
        </w:rPr>
        <w:t>concrete materials and interact, rather than watching and listening passively</w:t>
      </w:r>
    </w:p>
    <w:p w14:paraId="4664EE7B" w14:textId="6C604E4B" w:rsidR="00140F91" w:rsidRPr="00140F91" w:rsidRDefault="00140F91" w:rsidP="00140F91">
      <w:pPr>
        <w:pStyle w:val="ListParagraph"/>
        <w:numPr>
          <w:ilvl w:val="0"/>
          <w:numId w:val="19"/>
        </w:num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 xml:space="preserve">Praising instances of progress and accomplishment </w:t>
      </w:r>
    </w:p>
    <w:p w14:paraId="41300AA3" w14:textId="77777777" w:rsidR="00140F91" w:rsidRDefault="00140F91" w:rsidP="00140F91">
      <w:pPr>
        <w:rPr>
          <w:rFonts w:ascii="Avenir Next" w:hAnsi="Avenir Next"/>
          <w:lang w:val="en-US"/>
        </w:rPr>
      </w:pPr>
    </w:p>
    <w:p w14:paraId="35B66B7C" w14:textId="1EAA74E4" w:rsidR="00140F91" w:rsidRPr="00BC7807" w:rsidRDefault="00140F91" w:rsidP="00140F91">
      <w:pP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  <w:r w:rsidRPr="00BC7807">
        <w:rPr>
          <w:rFonts w:ascii="Avenir Next" w:eastAsiaTheme="majorEastAsia" w:hAnsi="Avenir Next" w:cstheme="majorBidi"/>
          <w:color w:val="0F4761" w:themeColor="accent1" w:themeShade="BF"/>
          <w:lang w:val="en-US"/>
        </w:rPr>
        <w:t>Strength-Based Approaches</w:t>
      </w:r>
    </w:p>
    <w:p w14:paraId="3811103C" w14:textId="7CB09890" w:rsidR="00140F91" w:rsidRDefault="00140F91" w:rsidP="00140F91">
      <w:p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The use of strength-based approaches requires exploring with students points of personal connection that</w:t>
      </w:r>
      <w:r>
        <w:rPr>
          <w:rFonts w:ascii="Avenir Next" w:hAnsi="Avenir Next"/>
          <w:lang w:val="en-US"/>
        </w:rPr>
        <w:t xml:space="preserve"> </w:t>
      </w:r>
      <w:r w:rsidRPr="00140F91">
        <w:rPr>
          <w:rFonts w:ascii="Avenir Next" w:hAnsi="Avenir Next"/>
          <w:lang w:val="en-US"/>
        </w:rPr>
        <w:t xml:space="preserve">reflect their preferences, interests, areas of competency and aspirations. </w:t>
      </w:r>
      <w:r w:rsidR="00F263D4">
        <w:rPr>
          <w:rFonts w:ascii="Avenir Next" w:hAnsi="Avenir Next"/>
          <w:lang w:val="en-US"/>
        </w:rPr>
        <w:t>These</w:t>
      </w:r>
      <w:r w:rsidRPr="00140F91">
        <w:rPr>
          <w:rFonts w:ascii="Avenir Next" w:hAnsi="Avenir Next"/>
          <w:lang w:val="en-US"/>
        </w:rPr>
        <w:t xml:space="preserve"> points</w:t>
      </w:r>
      <w:r>
        <w:rPr>
          <w:rFonts w:ascii="Avenir Next" w:hAnsi="Avenir Next"/>
          <w:lang w:val="en-US"/>
        </w:rPr>
        <w:t xml:space="preserve"> </w:t>
      </w:r>
      <w:r w:rsidRPr="00140F91">
        <w:rPr>
          <w:rFonts w:ascii="Avenir Next" w:hAnsi="Avenir Next"/>
          <w:lang w:val="en-US"/>
        </w:rPr>
        <w:t>of connection may be explored by asking students to share personal stories of strength</w:t>
      </w:r>
      <w:r>
        <w:rPr>
          <w:rFonts w:ascii="Avenir Next" w:hAnsi="Avenir Next"/>
          <w:lang w:val="en-US"/>
        </w:rPr>
        <w:t xml:space="preserve"> </w:t>
      </w:r>
      <w:r w:rsidRPr="00140F91">
        <w:rPr>
          <w:rFonts w:ascii="Avenir Next" w:hAnsi="Avenir Next"/>
          <w:lang w:val="en-US"/>
        </w:rPr>
        <w:t>related to:</w:t>
      </w:r>
    </w:p>
    <w:p w14:paraId="27AB3F42" w14:textId="77777777" w:rsidR="00140F91" w:rsidRPr="00140F91" w:rsidRDefault="00140F91" w:rsidP="00140F91">
      <w:pPr>
        <w:rPr>
          <w:rFonts w:ascii="Avenir Next" w:hAnsi="Avenir Next"/>
          <w:lang w:val="en-US"/>
        </w:rPr>
      </w:pPr>
    </w:p>
    <w:p w14:paraId="01A8AB63" w14:textId="250E38A9" w:rsidR="00140F91" w:rsidRPr="00140F91" w:rsidRDefault="00140F91" w:rsidP="00140F91">
      <w:pPr>
        <w:pStyle w:val="ListParagraph"/>
        <w:numPr>
          <w:ilvl w:val="0"/>
          <w:numId w:val="19"/>
        </w:num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Activities or things they like to do for fun (intrinsic motivation)</w:t>
      </w:r>
    </w:p>
    <w:p w14:paraId="72613163" w14:textId="28508C23" w:rsidR="00140F91" w:rsidRPr="00140F91" w:rsidRDefault="00140F91" w:rsidP="00140F91">
      <w:pPr>
        <w:pStyle w:val="ListParagraph"/>
        <w:numPr>
          <w:ilvl w:val="0"/>
          <w:numId w:val="19"/>
        </w:num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Important people and relationships in their home, school or community settings</w:t>
      </w:r>
      <w:r>
        <w:rPr>
          <w:rFonts w:ascii="Avenir Next" w:hAnsi="Avenir Next"/>
          <w:lang w:val="en-US"/>
        </w:rPr>
        <w:t xml:space="preserve"> </w:t>
      </w:r>
      <w:r w:rsidRPr="00140F91">
        <w:rPr>
          <w:rFonts w:ascii="Avenir Next" w:hAnsi="Avenir Next"/>
          <w:lang w:val="en-US"/>
        </w:rPr>
        <w:t>(belonging)</w:t>
      </w:r>
    </w:p>
    <w:p w14:paraId="31799C83" w14:textId="4592DB2C" w:rsidR="00140F91" w:rsidRPr="00140F91" w:rsidRDefault="00140F91" w:rsidP="00140F91">
      <w:pPr>
        <w:pStyle w:val="ListParagraph"/>
        <w:numPr>
          <w:ilvl w:val="0"/>
          <w:numId w:val="20"/>
        </w:num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Activities and experiences that provide them with a sense of accomplishment</w:t>
      </w:r>
      <w:r>
        <w:rPr>
          <w:rFonts w:ascii="Avenir Next" w:hAnsi="Avenir Next"/>
          <w:lang w:val="en-US"/>
        </w:rPr>
        <w:t xml:space="preserve"> </w:t>
      </w:r>
      <w:r w:rsidRPr="00140F91">
        <w:rPr>
          <w:rFonts w:ascii="Avenir Next" w:hAnsi="Avenir Next"/>
          <w:lang w:val="en-US"/>
        </w:rPr>
        <w:t>(worth)</w:t>
      </w:r>
    </w:p>
    <w:p w14:paraId="4A1EB7CD" w14:textId="0A8B7E73" w:rsidR="00140F91" w:rsidRPr="00140F91" w:rsidRDefault="00140F91" w:rsidP="00140F91">
      <w:pPr>
        <w:pStyle w:val="ListParagraph"/>
        <w:numPr>
          <w:ilvl w:val="0"/>
          <w:numId w:val="20"/>
        </w:num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Choices, dreams or aspirations they have for the present or future (choices,</w:t>
      </w:r>
      <w:r>
        <w:rPr>
          <w:rFonts w:ascii="Avenir Next" w:hAnsi="Avenir Next"/>
          <w:lang w:val="en-US"/>
        </w:rPr>
        <w:t xml:space="preserve"> </w:t>
      </w:r>
      <w:r w:rsidRPr="00140F91">
        <w:rPr>
          <w:rFonts w:ascii="Avenir Next" w:hAnsi="Avenir Next"/>
          <w:lang w:val="en-US"/>
        </w:rPr>
        <w:t>autonomy)</w:t>
      </w:r>
    </w:p>
    <w:p w14:paraId="5BC5E5BF" w14:textId="77777777" w:rsidR="00140F91" w:rsidRDefault="00140F91" w:rsidP="00140F91">
      <w:pPr>
        <w:rPr>
          <w:rFonts w:ascii="Avenir Next" w:hAnsi="Avenir Next"/>
          <w:lang w:val="en-US"/>
        </w:rPr>
      </w:pPr>
    </w:p>
    <w:p w14:paraId="59F74668" w14:textId="1D1C250B" w:rsidR="00140F91" w:rsidRPr="00140F91" w:rsidRDefault="00140F91" w:rsidP="00140F91">
      <w:p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As areas of strength and personal connection are explored and identified, they may</w:t>
      </w:r>
    </w:p>
    <w:p w14:paraId="7E54FC1D" w14:textId="1DD9C76C" w:rsidR="00140F91" w:rsidRPr="00140F91" w:rsidRDefault="00140F91" w:rsidP="00140F91">
      <w:p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subsequently be used as potential theme areas for the development of</w:t>
      </w:r>
    </w:p>
    <w:p w14:paraId="1D58D9CD" w14:textId="77777777" w:rsidR="00140F91" w:rsidRPr="00140F91" w:rsidRDefault="00140F91" w:rsidP="00140F91">
      <w:p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specific curriculum strategies for students. Applying points of personal connection to</w:t>
      </w:r>
    </w:p>
    <w:p w14:paraId="74A84B49" w14:textId="77777777" w:rsidR="00140F91" w:rsidRDefault="00140F91" w:rsidP="00140F91">
      <w:p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differentiate instruction or academic plans may include:</w:t>
      </w:r>
    </w:p>
    <w:p w14:paraId="24016B15" w14:textId="77777777" w:rsidR="00140F91" w:rsidRPr="00140F91" w:rsidRDefault="00140F91" w:rsidP="00140F91">
      <w:pPr>
        <w:rPr>
          <w:rFonts w:ascii="Avenir Next" w:hAnsi="Avenir Next"/>
          <w:lang w:val="en-US"/>
        </w:rPr>
      </w:pPr>
    </w:p>
    <w:p w14:paraId="4C250794" w14:textId="3927FCD8" w:rsidR="00140F91" w:rsidRPr="00140F91" w:rsidRDefault="00140F91" w:rsidP="00140F91">
      <w:pPr>
        <w:pStyle w:val="ListParagraph"/>
        <w:numPr>
          <w:ilvl w:val="0"/>
          <w:numId w:val="20"/>
        </w:num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 xml:space="preserve">Developing independent study projects on </w:t>
      </w:r>
      <w:proofErr w:type="gramStart"/>
      <w:r w:rsidRPr="00140F91">
        <w:rPr>
          <w:rFonts w:ascii="Avenir Next" w:hAnsi="Avenir Next"/>
          <w:lang w:val="en-US"/>
        </w:rPr>
        <w:t>particular areas</w:t>
      </w:r>
      <w:proofErr w:type="gramEnd"/>
      <w:r w:rsidRPr="00140F91">
        <w:rPr>
          <w:rFonts w:ascii="Avenir Next" w:hAnsi="Avenir Next"/>
          <w:lang w:val="en-US"/>
        </w:rPr>
        <w:t xml:space="preserve"> of interest for individual</w:t>
      </w:r>
      <w:r>
        <w:rPr>
          <w:rFonts w:ascii="Avenir Next" w:hAnsi="Avenir Next"/>
          <w:lang w:val="en-US"/>
        </w:rPr>
        <w:t xml:space="preserve"> </w:t>
      </w:r>
      <w:r w:rsidRPr="00140F91">
        <w:rPr>
          <w:rFonts w:ascii="Avenir Next" w:hAnsi="Avenir Next"/>
          <w:lang w:val="en-US"/>
        </w:rPr>
        <w:t>students or small groups</w:t>
      </w:r>
    </w:p>
    <w:p w14:paraId="026A12E1" w14:textId="09E9FF13" w:rsidR="00140F91" w:rsidRPr="00140F91" w:rsidRDefault="00140F91" w:rsidP="00140F91">
      <w:pPr>
        <w:pStyle w:val="ListParagraph"/>
        <w:numPr>
          <w:ilvl w:val="0"/>
          <w:numId w:val="21"/>
        </w:num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Linking students with school or community mentors who have specialized knowledge</w:t>
      </w:r>
      <w:r>
        <w:rPr>
          <w:rFonts w:ascii="Avenir Next" w:hAnsi="Avenir Next"/>
          <w:lang w:val="en-US"/>
        </w:rPr>
        <w:t xml:space="preserve"> </w:t>
      </w:r>
      <w:r w:rsidRPr="00140F91">
        <w:rPr>
          <w:rFonts w:ascii="Avenir Next" w:hAnsi="Avenir Next"/>
          <w:lang w:val="en-US"/>
        </w:rPr>
        <w:t>or skill related to areas of student interests or strength</w:t>
      </w:r>
    </w:p>
    <w:p w14:paraId="03C1B580" w14:textId="37E3A3EB" w:rsidR="00140F91" w:rsidRPr="00140F91" w:rsidRDefault="00140F91" w:rsidP="00140F91">
      <w:pPr>
        <w:pStyle w:val="ListParagraph"/>
        <w:numPr>
          <w:ilvl w:val="0"/>
          <w:numId w:val="21"/>
        </w:numPr>
        <w:rPr>
          <w:rFonts w:ascii="Avenir Next" w:hAnsi="Avenir Next"/>
          <w:lang w:val="en-US"/>
        </w:rPr>
      </w:pPr>
      <w:r w:rsidRPr="00140F91">
        <w:rPr>
          <w:rFonts w:ascii="Avenir Next" w:hAnsi="Avenir Next"/>
          <w:lang w:val="en-US"/>
        </w:rPr>
        <w:t>Providing opportunities for students to demonstrate or celebrate areas of strength</w:t>
      </w:r>
      <w:r>
        <w:rPr>
          <w:rFonts w:ascii="Avenir Next" w:hAnsi="Avenir Next"/>
          <w:lang w:val="en-US"/>
        </w:rPr>
        <w:t xml:space="preserve"> </w:t>
      </w:r>
      <w:r w:rsidRPr="00140F91">
        <w:rPr>
          <w:rFonts w:ascii="Avenir Next" w:hAnsi="Avenir Next"/>
          <w:lang w:val="en-US"/>
        </w:rPr>
        <w:t>or interest through special events, performances or presentations</w:t>
      </w:r>
    </w:p>
    <w:p w14:paraId="2777770E" w14:textId="5B38D97C" w:rsidR="00140F91" w:rsidRPr="00F263D4" w:rsidRDefault="00140F91" w:rsidP="00140F91">
      <w:pPr>
        <w:pStyle w:val="ListParagraph"/>
        <w:numPr>
          <w:ilvl w:val="0"/>
          <w:numId w:val="21"/>
        </w:numPr>
        <w:rPr>
          <w:rFonts w:ascii="Avenir Next" w:hAnsi="Avenir Next"/>
          <w:lang w:val="en-US"/>
        </w:rPr>
      </w:pPr>
      <w:r w:rsidRPr="00F263D4">
        <w:rPr>
          <w:rFonts w:ascii="Avenir Next" w:hAnsi="Avenir Next"/>
          <w:lang w:val="en-US"/>
        </w:rPr>
        <w:t xml:space="preserve">Planning special lessons, field trips or initiatives that incorporate theme areas relevant to important student relationships, accomplishments or goals </w:t>
      </w:r>
    </w:p>
    <w:p w14:paraId="06502017" w14:textId="5F2E041A" w:rsidR="00A54DA3" w:rsidRPr="00140F91" w:rsidRDefault="00A54DA3" w:rsidP="00140F91">
      <w:pPr>
        <w:rPr>
          <w:rFonts w:ascii="Avenir Next" w:hAnsi="Avenir Next"/>
          <w:lang w:val="en-US"/>
        </w:rPr>
      </w:pPr>
    </w:p>
    <w:sectPr w:rsidR="00A54DA3" w:rsidRPr="00140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E48"/>
    <w:multiLevelType w:val="hybridMultilevel"/>
    <w:tmpl w:val="47F6F70E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1B08"/>
    <w:multiLevelType w:val="hybridMultilevel"/>
    <w:tmpl w:val="7FD6B1C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969C1"/>
    <w:multiLevelType w:val="hybridMultilevel"/>
    <w:tmpl w:val="5CDCFEE0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14AA8"/>
    <w:multiLevelType w:val="hybridMultilevel"/>
    <w:tmpl w:val="33B8A354"/>
    <w:lvl w:ilvl="0" w:tplc="0D4A0CAC">
      <w:start w:val="6"/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56B87"/>
    <w:multiLevelType w:val="hybridMultilevel"/>
    <w:tmpl w:val="AE3E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57634"/>
    <w:multiLevelType w:val="hybridMultilevel"/>
    <w:tmpl w:val="F3662488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D5237"/>
    <w:multiLevelType w:val="hybridMultilevel"/>
    <w:tmpl w:val="BA2A5C98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A2647"/>
    <w:multiLevelType w:val="hybridMultilevel"/>
    <w:tmpl w:val="8136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4134"/>
    <w:multiLevelType w:val="hybridMultilevel"/>
    <w:tmpl w:val="2D08EC8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1235A"/>
    <w:multiLevelType w:val="hybridMultilevel"/>
    <w:tmpl w:val="00CC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351F4"/>
    <w:multiLevelType w:val="hybridMultilevel"/>
    <w:tmpl w:val="7F00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E1563"/>
    <w:multiLevelType w:val="hybridMultilevel"/>
    <w:tmpl w:val="75C480CE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5476F"/>
    <w:multiLevelType w:val="hybridMultilevel"/>
    <w:tmpl w:val="8430C96E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52269"/>
    <w:multiLevelType w:val="hybridMultilevel"/>
    <w:tmpl w:val="B43CEE7E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417DA"/>
    <w:multiLevelType w:val="hybridMultilevel"/>
    <w:tmpl w:val="776A8E98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63A1"/>
    <w:multiLevelType w:val="hybridMultilevel"/>
    <w:tmpl w:val="E29E84C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073A4"/>
    <w:multiLevelType w:val="hybridMultilevel"/>
    <w:tmpl w:val="4288D962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1190B"/>
    <w:multiLevelType w:val="hybridMultilevel"/>
    <w:tmpl w:val="C2BC397A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E3A26"/>
    <w:multiLevelType w:val="hybridMultilevel"/>
    <w:tmpl w:val="2102D420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333DE"/>
    <w:multiLevelType w:val="hybridMultilevel"/>
    <w:tmpl w:val="F2C86342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76BA9"/>
    <w:multiLevelType w:val="hybridMultilevel"/>
    <w:tmpl w:val="F4BC936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57C9B"/>
    <w:multiLevelType w:val="hybridMultilevel"/>
    <w:tmpl w:val="31D8A5E8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83253">
    <w:abstractNumId w:val="4"/>
  </w:num>
  <w:num w:numId="2" w16cid:durableId="21787271">
    <w:abstractNumId w:val="2"/>
  </w:num>
  <w:num w:numId="3" w16cid:durableId="778719136">
    <w:abstractNumId w:val="17"/>
  </w:num>
  <w:num w:numId="4" w16cid:durableId="1458068712">
    <w:abstractNumId w:val="20"/>
  </w:num>
  <w:num w:numId="5" w16cid:durableId="52966286">
    <w:abstractNumId w:val="0"/>
  </w:num>
  <w:num w:numId="6" w16cid:durableId="628052094">
    <w:abstractNumId w:val="8"/>
  </w:num>
  <w:num w:numId="7" w16cid:durableId="1236361788">
    <w:abstractNumId w:val="15"/>
  </w:num>
  <w:num w:numId="8" w16cid:durableId="1032146830">
    <w:abstractNumId w:val="10"/>
  </w:num>
  <w:num w:numId="9" w16cid:durableId="277227809">
    <w:abstractNumId w:val="9"/>
  </w:num>
  <w:num w:numId="10" w16cid:durableId="1908032988">
    <w:abstractNumId w:val="7"/>
  </w:num>
  <w:num w:numId="11" w16cid:durableId="561596956">
    <w:abstractNumId w:val="13"/>
  </w:num>
  <w:num w:numId="12" w16cid:durableId="1421290278">
    <w:abstractNumId w:val="3"/>
  </w:num>
  <w:num w:numId="13" w16cid:durableId="189534154">
    <w:abstractNumId w:val="16"/>
  </w:num>
  <w:num w:numId="14" w16cid:durableId="1056587682">
    <w:abstractNumId w:val="19"/>
  </w:num>
  <w:num w:numId="15" w16cid:durableId="1903326944">
    <w:abstractNumId w:val="11"/>
  </w:num>
  <w:num w:numId="16" w16cid:durableId="669914080">
    <w:abstractNumId w:val="1"/>
  </w:num>
  <w:num w:numId="17" w16cid:durableId="1331328270">
    <w:abstractNumId w:val="18"/>
  </w:num>
  <w:num w:numId="18" w16cid:durableId="35392503">
    <w:abstractNumId w:val="6"/>
  </w:num>
  <w:num w:numId="19" w16cid:durableId="775322711">
    <w:abstractNumId w:val="14"/>
  </w:num>
  <w:num w:numId="20" w16cid:durableId="1589843915">
    <w:abstractNumId w:val="21"/>
  </w:num>
  <w:num w:numId="21" w16cid:durableId="1064257811">
    <w:abstractNumId w:val="5"/>
  </w:num>
  <w:num w:numId="22" w16cid:durableId="10882350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1D"/>
    <w:rsid w:val="000E1693"/>
    <w:rsid w:val="00140F91"/>
    <w:rsid w:val="00236AFB"/>
    <w:rsid w:val="0043148F"/>
    <w:rsid w:val="004F3248"/>
    <w:rsid w:val="004F5469"/>
    <w:rsid w:val="00531402"/>
    <w:rsid w:val="005544BE"/>
    <w:rsid w:val="0059004D"/>
    <w:rsid w:val="0069672B"/>
    <w:rsid w:val="00723E28"/>
    <w:rsid w:val="0082728A"/>
    <w:rsid w:val="00A54DA3"/>
    <w:rsid w:val="00AB7B9B"/>
    <w:rsid w:val="00BA7C78"/>
    <w:rsid w:val="00BC7807"/>
    <w:rsid w:val="00BD5F4B"/>
    <w:rsid w:val="00E2741D"/>
    <w:rsid w:val="00F263D4"/>
    <w:rsid w:val="00F5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A2369"/>
  <w15:chartTrackingRefBased/>
  <w15:docId w15:val="{ACFC23FC-AA06-2443-98D0-9ADAB78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4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4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4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4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7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4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4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4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4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6A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s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Peterson</dc:creator>
  <cp:keywords/>
  <dc:description/>
  <cp:lastModifiedBy>Patricia Peterson</cp:lastModifiedBy>
  <cp:revision>4</cp:revision>
  <dcterms:created xsi:type="dcterms:W3CDTF">2025-02-18T18:23:00Z</dcterms:created>
  <dcterms:modified xsi:type="dcterms:W3CDTF">2025-03-24T14:41:00Z</dcterms:modified>
</cp:coreProperties>
</file>