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D0CBB" w14:textId="1021C97C" w:rsidR="00E2741D" w:rsidRDefault="00325F88" w:rsidP="0059195B">
      <w:pPr>
        <w:pStyle w:val="Heading2"/>
        <w:spacing w:before="0" w:after="0"/>
        <w:rPr>
          <w:lang w:val="en-US"/>
        </w:rPr>
      </w:pPr>
      <w:r>
        <w:rPr>
          <w:lang w:val="en-US"/>
        </w:rPr>
        <w:t>Policy</w:t>
      </w:r>
    </w:p>
    <w:p w14:paraId="414EB79E" w14:textId="77777777" w:rsidR="00E2741D" w:rsidRPr="00E2741D" w:rsidRDefault="00E2741D" w:rsidP="0059195B">
      <w:pPr>
        <w:rPr>
          <w:rFonts w:ascii="Avenir Next" w:hAnsi="Avenir Next"/>
          <w:b/>
          <w:bCs/>
          <w:lang w:val="en-US"/>
        </w:rPr>
      </w:pPr>
    </w:p>
    <w:p w14:paraId="3AC909D1" w14:textId="126A15A4" w:rsidR="00325F88" w:rsidRPr="00325F88" w:rsidRDefault="00325F88" w:rsidP="00325F88">
      <w:pPr>
        <w:rPr>
          <w:rFonts w:ascii="Avenir Next" w:hAnsi="Avenir Next"/>
          <w:lang w:val="en-US"/>
        </w:rPr>
      </w:pPr>
      <w:r w:rsidRPr="00325F88">
        <w:rPr>
          <w:rFonts w:ascii="Avenir Next" w:hAnsi="Avenir Next"/>
          <w:lang w:val="en-US"/>
        </w:rPr>
        <w:t>Healthy school policies include leadership practices</w:t>
      </w:r>
      <w:r w:rsidR="0059195B">
        <w:rPr>
          <w:rFonts w:ascii="Avenir Next" w:hAnsi="Avenir Next"/>
          <w:lang w:val="en-US"/>
        </w:rPr>
        <w:t xml:space="preserve"> and</w:t>
      </w:r>
      <w:r w:rsidRPr="00325F88">
        <w:rPr>
          <w:rFonts w:ascii="Avenir Next" w:hAnsi="Avenir Next"/>
          <w:lang w:val="en-US"/>
        </w:rPr>
        <w:t xml:space="preserve"> decision-making processes, as</w:t>
      </w:r>
      <w:r w:rsidR="0059195B">
        <w:rPr>
          <w:rFonts w:ascii="Avenir Next" w:hAnsi="Avenir Next"/>
          <w:lang w:val="en-US"/>
        </w:rPr>
        <w:t xml:space="preserve"> </w:t>
      </w:r>
      <w:r w:rsidRPr="00325F88">
        <w:rPr>
          <w:rFonts w:ascii="Avenir Next" w:hAnsi="Avenir Next"/>
          <w:lang w:val="en-US"/>
        </w:rPr>
        <w:t>well as guidelines, rules and procedures that affect how programs, services and</w:t>
      </w:r>
    </w:p>
    <w:p w14:paraId="6422BF16" w14:textId="1A39CCCC" w:rsidR="00325F88" w:rsidRPr="00325F88" w:rsidRDefault="00325F88" w:rsidP="0059195B">
      <w:pPr>
        <w:rPr>
          <w:rFonts w:ascii="Avenir Next" w:hAnsi="Avenir Next"/>
          <w:lang w:val="en-US"/>
        </w:rPr>
      </w:pPr>
      <w:r w:rsidRPr="00325F88">
        <w:rPr>
          <w:rFonts w:ascii="Avenir Next" w:hAnsi="Avenir Next"/>
          <w:lang w:val="en-US"/>
        </w:rPr>
        <w:t>relationships are negotiated in the school and community settings. Effective leadership</w:t>
      </w:r>
      <w:r>
        <w:rPr>
          <w:rFonts w:ascii="Avenir Next" w:hAnsi="Avenir Next"/>
          <w:lang w:val="en-US"/>
        </w:rPr>
        <w:t xml:space="preserve"> </w:t>
      </w:r>
      <w:r w:rsidRPr="00325F88">
        <w:rPr>
          <w:rFonts w:ascii="Avenir Next" w:hAnsi="Avenir Next"/>
          <w:lang w:val="en-US"/>
        </w:rPr>
        <w:t xml:space="preserve">and policies are critical for supporting the application of </w:t>
      </w:r>
      <w:r w:rsidR="0059195B">
        <w:rPr>
          <w:rFonts w:ascii="Avenir Next" w:hAnsi="Avenir Next"/>
          <w:lang w:val="en-US"/>
        </w:rPr>
        <w:t>well-being</w:t>
      </w:r>
      <w:r>
        <w:rPr>
          <w:rFonts w:ascii="Avenir Next" w:hAnsi="Avenir Next"/>
          <w:lang w:val="en-US"/>
        </w:rPr>
        <w:t xml:space="preserve"> </w:t>
      </w:r>
      <w:r w:rsidRPr="00325F88">
        <w:rPr>
          <w:rFonts w:ascii="Avenir Next" w:hAnsi="Avenir Next"/>
          <w:lang w:val="en-US"/>
        </w:rPr>
        <w:t xml:space="preserve">practices at all system levels. </w:t>
      </w:r>
    </w:p>
    <w:p w14:paraId="41A3C7D6" w14:textId="77777777" w:rsidR="00325F88" w:rsidRDefault="00325F88" w:rsidP="00325F88">
      <w:pPr>
        <w:rPr>
          <w:rFonts w:ascii="Avenir Next" w:hAnsi="Avenir Next"/>
          <w:lang w:val="en-US"/>
        </w:rPr>
      </w:pPr>
    </w:p>
    <w:p w14:paraId="2409ABE6" w14:textId="17FF8BD2" w:rsidR="00325F88" w:rsidRPr="00325F88" w:rsidRDefault="00325F88" w:rsidP="00325F88">
      <w:pPr>
        <w:rPr>
          <w:rFonts w:ascii="Avenir Next" w:eastAsiaTheme="majorEastAsia" w:hAnsi="Avenir Next" w:cstheme="majorBidi"/>
          <w:color w:val="0F4761" w:themeColor="accent1" w:themeShade="BF"/>
          <w:lang w:val="en-US"/>
        </w:rPr>
      </w:pPr>
      <w:r w:rsidRPr="00325F88">
        <w:rPr>
          <w:rFonts w:ascii="Avenir Next" w:eastAsiaTheme="majorEastAsia" w:hAnsi="Avenir Next" w:cstheme="majorBidi"/>
          <w:color w:val="0F4761" w:themeColor="accent1" w:themeShade="BF"/>
          <w:lang w:val="en-US"/>
        </w:rPr>
        <w:t>Effective Leadership</w:t>
      </w:r>
    </w:p>
    <w:p w14:paraId="2B645E69" w14:textId="5B955B30" w:rsidR="00325F88" w:rsidRDefault="00325F88" w:rsidP="00325F88">
      <w:pPr>
        <w:rPr>
          <w:rFonts w:ascii="Avenir Next" w:hAnsi="Avenir Next"/>
          <w:lang w:val="en-US"/>
        </w:rPr>
      </w:pPr>
      <w:r w:rsidRPr="00325F88">
        <w:rPr>
          <w:rFonts w:ascii="Avenir Next" w:hAnsi="Avenir Next"/>
          <w:lang w:val="en-US"/>
        </w:rPr>
        <w:t>Educational leaders and administrators play a key role in communicating the importance</w:t>
      </w:r>
      <w:r>
        <w:rPr>
          <w:rFonts w:ascii="Avenir Next" w:hAnsi="Avenir Next"/>
          <w:lang w:val="en-US"/>
        </w:rPr>
        <w:t xml:space="preserve"> </w:t>
      </w:r>
      <w:r w:rsidRPr="00325F88">
        <w:rPr>
          <w:rFonts w:ascii="Avenir Next" w:hAnsi="Avenir Next"/>
          <w:lang w:val="en-US"/>
        </w:rPr>
        <w:t xml:space="preserve">of </w:t>
      </w:r>
      <w:r w:rsidR="0059195B">
        <w:rPr>
          <w:rFonts w:ascii="Avenir Next" w:hAnsi="Avenir Next"/>
          <w:lang w:val="en-US"/>
        </w:rPr>
        <w:t>well-being</w:t>
      </w:r>
      <w:r w:rsidRPr="00325F88">
        <w:rPr>
          <w:rFonts w:ascii="Avenir Next" w:hAnsi="Avenir Next"/>
          <w:lang w:val="en-US"/>
        </w:rPr>
        <w:t xml:space="preserve"> promotion and modeling behaviours and actions in their daily</w:t>
      </w:r>
      <w:r>
        <w:rPr>
          <w:rFonts w:ascii="Avenir Next" w:hAnsi="Avenir Next"/>
          <w:lang w:val="en-US"/>
        </w:rPr>
        <w:t xml:space="preserve"> </w:t>
      </w:r>
      <w:r w:rsidRPr="00325F88">
        <w:rPr>
          <w:rFonts w:ascii="Avenir Next" w:hAnsi="Avenir Next"/>
          <w:lang w:val="en-US"/>
        </w:rPr>
        <w:t xml:space="preserve">routines that are consistent and reinforcing to these policies. </w:t>
      </w:r>
      <w:r w:rsidR="0059195B">
        <w:rPr>
          <w:rFonts w:ascii="Avenir Next" w:hAnsi="Avenir Next"/>
          <w:lang w:val="en-US"/>
        </w:rPr>
        <w:t>S</w:t>
      </w:r>
      <w:r w:rsidRPr="00325F88">
        <w:rPr>
          <w:rFonts w:ascii="Avenir Next" w:hAnsi="Avenir Next"/>
          <w:lang w:val="en-US"/>
        </w:rPr>
        <w:t>pecific</w:t>
      </w:r>
      <w:r>
        <w:rPr>
          <w:rFonts w:ascii="Avenir Next" w:hAnsi="Avenir Next"/>
          <w:lang w:val="en-US"/>
        </w:rPr>
        <w:t xml:space="preserve"> </w:t>
      </w:r>
      <w:r w:rsidRPr="00325F88">
        <w:rPr>
          <w:rFonts w:ascii="Avenir Next" w:hAnsi="Avenir Next"/>
          <w:lang w:val="en-US"/>
        </w:rPr>
        <w:t>leadership activities that effectively support positive mental health promotion include:</w:t>
      </w:r>
    </w:p>
    <w:p w14:paraId="752C1530" w14:textId="77777777" w:rsidR="00325F88" w:rsidRPr="00325F88" w:rsidRDefault="00325F88" w:rsidP="00325F88">
      <w:pPr>
        <w:rPr>
          <w:rFonts w:ascii="Avenir Next" w:hAnsi="Avenir Next"/>
          <w:lang w:val="en-US"/>
        </w:rPr>
      </w:pPr>
    </w:p>
    <w:p w14:paraId="0A5EA3C5" w14:textId="12B02FD2" w:rsidR="00325F88" w:rsidRPr="00325F88" w:rsidRDefault="00325F88" w:rsidP="00325F88">
      <w:pPr>
        <w:pStyle w:val="ListParagraph"/>
        <w:numPr>
          <w:ilvl w:val="0"/>
          <w:numId w:val="29"/>
        </w:numPr>
        <w:rPr>
          <w:rFonts w:ascii="Avenir Next" w:hAnsi="Avenir Next"/>
          <w:lang w:val="en-US"/>
        </w:rPr>
      </w:pPr>
      <w:r w:rsidRPr="00325F88">
        <w:rPr>
          <w:rFonts w:ascii="Avenir Next" w:hAnsi="Avenir Next"/>
          <w:lang w:val="en-US"/>
        </w:rPr>
        <w:t>Ensuring that everyone in the building is held accountable for upholding and modeling rules pertaining to respectful behaviour</w:t>
      </w:r>
    </w:p>
    <w:p w14:paraId="5CC55E73" w14:textId="38059A8B" w:rsidR="00325F88" w:rsidRPr="00325F88" w:rsidRDefault="00325F88" w:rsidP="00325F88">
      <w:pPr>
        <w:pStyle w:val="ListParagraph"/>
        <w:numPr>
          <w:ilvl w:val="0"/>
          <w:numId w:val="29"/>
        </w:numPr>
        <w:rPr>
          <w:rFonts w:ascii="Avenir Next" w:hAnsi="Avenir Next"/>
          <w:lang w:val="en-US"/>
        </w:rPr>
      </w:pPr>
      <w:r w:rsidRPr="00325F88">
        <w:rPr>
          <w:rFonts w:ascii="Avenir Next" w:hAnsi="Avenir Next"/>
          <w:lang w:val="en-US"/>
        </w:rPr>
        <w:t>Ensuring that every student in the school is assigned an adult who will take time to</w:t>
      </w:r>
      <w:r>
        <w:rPr>
          <w:rFonts w:ascii="Avenir Next" w:hAnsi="Avenir Next"/>
          <w:lang w:val="en-US"/>
        </w:rPr>
        <w:t xml:space="preserve"> </w:t>
      </w:r>
      <w:r w:rsidRPr="00325F88">
        <w:rPr>
          <w:rFonts w:ascii="Avenir Next" w:hAnsi="Avenir Next"/>
          <w:lang w:val="en-US"/>
        </w:rPr>
        <w:t>know and care for that student</w:t>
      </w:r>
    </w:p>
    <w:p w14:paraId="7464E452" w14:textId="62F06C6E" w:rsidR="00325F88" w:rsidRPr="00325F88" w:rsidRDefault="00325F88" w:rsidP="00325F88">
      <w:pPr>
        <w:pStyle w:val="ListParagraph"/>
        <w:numPr>
          <w:ilvl w:val="0"/>
          <w:numId w:val="30"/>
        </w:numPr>
        <w:rPr>
          <w:rFonts w:ascii="Avenir Next" w:hAnsi="Avenir Next"/>
          <w:lang w:val="en-US"/>
        </w:rPr>
      </w:pPr>
      <w:r w:rsidRPr="00325F88">
        <w:rPr>
          <w:rFonts w:ascii="Avenir Next" w:hAnsi="Avenir Next"/>
          <w:lang w:val="en-US"/>
        </w:rPr>
        <w:t>Encouraging teachers to consider potential curriculum linkages for embedding</w:t>
      </w:r>
      <w:r>
        <w:rPr>
          <w:rFonts w:ascii="Avenir Next" w:hAnsi="Avenir Next"/>
          <w:lang w:val="en-US"/>
        </w:rPr>
        <w:t xml:space="preserve"> </w:t>
      </w:r>
      <w:r w:rsidR="0059195B">
        <w:rPr>
          <w:rFonts w:ascii="Avenir Next" w:hAnsi="Avenir Next"/>
          <w:lang w:val="en-US"/>
        </w:rPr>
        <w:t>well-being</w:t>
      </w:r>
      <w:r w:rsidRPr="00325F88">
        <w:rPr>
          <w:rFonts w:ascii="Avenir Next" w:hAnsi="Avenir Next"/>
          <w:lang w:val="en-US"/>
        </w:rPr>
        <w:t xml:space="preserve"> perspectives and practices</w:t>
      </w:r>
    </w:p>
    <w:p w14:paraId="1C609E0D" w14:textId="1716BBEB" w:rsidR="00630C4C" w:rsidRPr="00630C4C" w:rsidRDefault="00630C4C" w:rsidP="00630C4C">
      <w:pPr>
        <w:pStyle w:val="ListParagraph"/>
        <w:numPr>
          <w:ilvl w:val="0"/>
          <w:numId w:val="30"/>
        </w:numPr>
        <w:rPr>
          <w:rFonts w:ascii="Avenir Next" w:hAnsi="Avenir Next"/>
          <w:lang w:val="en-US"/>
        </w:rPr>
      </w:pPr>
      <w:r w:rsidRPr="00630C4C">
        <w:rPr>
          <w:rFonts w:ascii="Avenir Next" w:hAnsi="Avenir Next"/>
          <w:lang w:val="en-US"/>
        </w:rPr>
        <w:t xml:space="preserve">Adding social and emotional learning goals to School Improvement Plans </w:t>
      </w:r>
    </w:p>
    <w:p w14:paraId="6D9AD006" w14:textId="77777777" w:rsidR="00630C4C" w:rsidRDefault="00630C4C" w:rsidP="00630C4C">
      <w:pPr>
        <w:rPr>
          <w:rFonts w:ascii="Avenir Next" w:hAnsi="Avenir Next"/>
          <w:lang w:val="en-US"/>
        </w:rPr>
      </w:pPr>
    </w:p>
    <w:p w14:paraId="419C18DD" w14:textId="5B267672" w:rsidR="00630C4C" w:rsidRPr="00630C4C" w:rsidRDefault="00630C4C" w:rsidP="00630C4C">
      <w:pPr>
        <w:rPr>
          <w:rFonts w:ascii="Avenir Next" w:eastAsiaTheme="majorEastAsia" w:hAnsi="Avenir Next" w:cstheme="majorBidi"/>
          <w:color w:val="0F4761" w:themeColor="accent1" w:themeShade="BF"/>
          <w:lang w:val="en-US"/>
        </w:rPr>
      </w:pPr>
      <w:r w:rsidRPr="00630C4C">
        <w:rPr>
          <w:rFonts w:ascii="Avenir Next" w:eastAsiaTheme="majorEastAsia" w:hAnsi="Avenir Next" w:cstheme="majorBidi"/>
          <w:color w:val="0F4761" w:themeColor="accent1" w:themeShade="BF"/>
          <w:lang w:val="en-US"/>
        </w:rPr>
        <w:t>Policies that Promote Safe and Caring Environments</w:t>
      </w:r>
    </w:p>
    <w:p w14:paraId="169D8E12" w14:textId="3992E989" w:rsidR="00630C4C" w:rsidRDefault="00630C4C" w:rsidP="00630C4C">
      <w:pPr>
        <w:rPr>
          <w:rFonts w:ascii="Avenir Next" w:hAnsi="Avenir Next"/>
          <w:lang w:val="en-US"/>
        </w:rPr>
      </w:pPr>
      <w:r w:rsidRPr="00630C4C">
        <w:rPr>
          <w:rFonts w:ascii="Avenir Next" w:hAnsi="Avenir Next"/>
          <w:lang w:val="en-US"/>
        </w:rPr>
        <w:t xml:space="preserve">Policies at the school and district levels that support </w:t>
      </w:r>
      <w:r w:rsidR="0059195B">
        <w:rPr>
          <w:rFonts w:ascii="Avenir Next" w:hAnsi="Avenir Next"/>
          <w:lang w:val="en-US"/>
        </w:rPr>
        <w:t>well-being</w:t>
      </w:r>
      <w:r w:rsidRPr="00630C4C">
        <w:rPr>
          <w:rFonts w:ascii="Avenir Next" w:hAnsi="Avenir Next"/>
          <w:lang w:val="en-US"/>
        </w:rPr>
        <w:t xml:space="preserve"> perspectives</w:t>
      </w:r>
      <w:r>
        <w:rPr>
          <w:rFonts w:ascii="Avenir Next" w:hAnsi="Avenir Next"/>
          <w:lang w:val="en-US"/>
        </w:rPr>
        <w:t xml:space="preserve"> </w:t>
      </w:r>
      <w:r w:rsidRPr="00630C4C">
        <w:rPr>
          <w:rFonts w:ascii="Avenir Next" w:hAnsi="Avenir Next"/>
          <w:lang w:val="en-US"/>
        </w:rPr>
        <w:t xml:space="preserve">and practices are recognized and </w:t>
      </w:r>
      <w:r w:rsidR="0059195B">
        <w:rPr>
          <w:rFonts w:ascii="Avenir Next" w:hAnsi="Avenir Next"/>
          <w:lang w:val="en-US"/>
        </w:rPr>
        <w:t xml:space="preserve">prioritized along with </w:t>
      </w:r>
      <w:r w:rsidRPr="00630C4C">
        <w:rPr>
          <w:rFonts w:ascii="Avenir Next" w:hAnsi="Avenir Next"/>
          <w:lang w:val="en-US"/>
        </w:rPr>
        <w:t>core academic areas such as literacy and numeracy. Such policies identify safe and caring school climates as necessary</w:t>
      </w:r>
      <w:r>
        <w:rPr>
          <w:rFonts w:ascii="Avenir Next" w:hAnsi="Avenir Next"/>
          <w:lang w:val="en-US"/>
        </w:rPr>
        <w:t xml:space="preserve"> </w:t>
      </w:r>
      <w:r w:rsidRPr="00630C4C">
        <w:rPr>
          <w:rFonts w:ascii="Avenir Next" w:hAnsi="Avenir Next"/>
          <w:lang w:val="en-US"/>
        </w:rPr>
        <w:t>ingredients for realizing a sense of belonging and connectedness among all students,</w:t>
      </w:r>
      <w:r>
        <w:rPr>
          <w:rFonts w:ascii="Avenir Next" w:hAnsi="Avenir Next"/>
          <w:lang w:val="en-US"/>
        </w:rPr>
        <w:t xml:space="preserve"> </w:t>
      </w:r>
      <w:r w:rsidRPr="00630C4C">
        <w:rPr>
          <w:rFonts w:ascii="Avenir Next" w:hAnsi="Avenir Next"/>
          <w:lang w:val="en-US"/>
        </w:rPr>
        <w:t>and for supporting their academic development and success</w:t>
      </w:r>
    </w:p>
    <w:p w14:paraId="52640DAE" w14:textId="77777777" w:rsidR="00630C4C" w:rsidRPr="00630C4C" w:rsidRDefault="00630C4C" w:rsidP="00630C4C">
      <w:pPr>
        <w:rPr>
          <w:rFonts w:ascii="Avenir Next" w:hAnsi="Avenir Next"/>
          <w:lang w:val="en-US"/>
        </w:rPr>
      </w:pPr>
    </w:p>
    <w:p w14:paraId="355FF652" w14:textId="77777777" w:rsidR="00630C4C" w:rsidRPr="00630C4C" w:rsidRDefault="00630C4C" w:rsidP="00630C4C">
      <w:pPr>
        <w:rPr>
          <w:rFonts w:ascii="Avenir Next" w:eastAsiaTheme="majorEastAsia" w:hAnsi="Avenir Next" w:cstheme="majorBidi"/>
          <w:color w:val="0F4761" w:themeColor="accent1" w:themeShade="BF"/>
          <w:lang w:val="en-US"/>
        </w:rPr>
      </w:pPr>
      <w:r w:rsidRPr="00630C4C">
        <w:rPr>
          <w:rFonts w:ascii="Avenir Next" w:eastAsiaTheme="majorEastAsia" w:hAnsi="Avenir Next" w:cstheme="majorBidi"/>
          <w:color w:val="0F4761" w:themeColor="accent1" w:themeShade="BF"/>
          <w:lang w:val="en-US"/>
        </w:rPr>
        <w:t>Policies for Inclusion</w:t>
      </w:r>
    </w:p>
    <w:p w14:paraId="3D7980F4" w14:textId="77777777" w:rsidR="00630C4C" w:rsidRPr="00630C4C" w:rsidRDefault="00630C4C" w:rsidP="00630C4C">
      <w:pPr>
        <w:rPr>
          <w:rFonts w:ascii="Avenir Next" w:hAnsi="Avenir Next"/>
          <w:lang w:val="en-US"/>
        </w:rPr>
      </w:pPr>
      <w:r w:rsidRPr="00630C4C">
        <w:rPr>
          <w:rFonts w:ascii="Avenir Next" w:hAnsi="Avenir Next"/>
          <w:lang w:val="en-US"/>
        </w:rPr>
        <w:t>Positive mental health promotion requires the implementation of clearly articulated</w:t>
      </w:r>
    </w:p>
    <w:p w14:paraId="7954F052" w14:textId="77777777" w:rsidR="00630C4C" w:rsidRPr="00630C4C" w:rsidRDefault="00630C4C" w:rsidP="00630C4C">
      <w:pPr>
        <w:rPr>
          <w:rFonts w:ascii="Avenir Next" w:hAnsi="Avenir Next"/>
          <w:lang w:val="en-US"/>
        </w:rPr>
      </w:pPr>
      <w:r w:rsidRPr="00630C4C">
        <w:rPr>
          <w:rFonts w:ascii="Avenir Next" w:hAnsi="Avenir Next"/>
          <w:lang w:val="en-US"/>
        </w:rPr>
        <w:t>policies related to inclusive education programming. Inclusive education is a</w:t>
      </w:r>
    </w:p>
    <w:p w14:paraId="4A947845" w14:textId="77777777" w:rsidR="00630C4C" w:rsidRPr="00630C4C" w:rsidRDefault="00630C4C" w:rsidP="00630C4C">
      <w:pPr>
        <w:rPr>
          <w:rFonts w:ascii="Avenir Next" w:hAnsi="Avenir Next"/>
          <w:lang w:val="en-US"/>
        </w:rPr>
      </w:pPr>
      <w:r w:rsidRPr="00630C4C">
        <w:rPr>
          <w:rFonts w:ascii="Avenir Next" w:hAnsi="Avenir Next"/>
          <w:lang w:val="en-US"/>
        </w:rPr>
        <w:t>philosophical approach to teaching that enhances opportunities for all students to</w:t>
      </w:r>
    </w:p>
    <w:p w14:paraId="3CD6B9EC" w14:textId="77777777" w:rsidR="00630C4C" w:rsidRPr="00630C4C" w:rsidRDefault="00630C4C" w:rsidP="00630C4C">
      <w:pPr>
        <w:rPr>
          <w:rFonts w:ascii="Avenir Next" w:hAnsi="Avenir Next"/>
          <w:lang w:val="en-US"/>
        </w:rPr>
      </w:pPr>
      <w:r w:rsidRPr="00630C4C">
        <w:rPr>
          <w:rFonts w:ascii="Avenir Next" w:hAnsi="Avenir Next"/>
          <w:lang w:val="en-US"/>
        </w:rPr>
        <w:t>participate in education in an atmosphere of respect and safety. Ideally, inclusive</w:t>
      </w:r>
    </w:p>
    <w:p w14:paraId="14A757D2" w14:textId="77777777" w:rsidR="00630C4C" w:rsidRPr="00630C4C" w:rsidRDefault="00630C4C" w:rsidP="00630C4C">
      <w:pPr>
        <w:rPr>
          <w:rFonts w:ascii="Avenir Next" w:hAnsi="Avenir Next"/>
          <w:lang w:val="en-US"/>
        </w:rPr>
      </w:pPr>
      <w:r w:rsidRPr="00630C4C">
        <w:rPr>
          <w:rFonts w:ascii="Avenir Next" w:hAnsi="Avenir Next"/>
          <w:lang w:val="en-US"/>
        </w:rPr>
        <w:t>education policies are based on a value system that is student-centered and socially</w:t>
      </w:r>
    </w:p>
    <w:p w14:paraId="518A0E7F" w14:textId="2AE18D35" w:rsidR="00630C4C" w:rsidRPr="00630C4C" w:rsidRDefault="00630C4C" w:rsidP="00630C4C">
      <w:pPr>
        <w:rPr>
          <w:rFonts w:ascii="Avenir Next" w:hAnsi="Avenir Next"/>
          <w:lang w:val="en-US"/>
        </w:rPr>
      </w:pPr>
      <w:r w:rsidRPr="00630C4C">
        <w:rPr>
          <w:rFonts w:ascii="Avenir Next" w:hAnsi="Avenir Next"/>
          <w:lang w:val="en-US"/>
        </w:rPr>
        <w:t>responsible toward all students, including those with exceptionalities. It is essential that</w:t>
      </w:r>
      <w:r>
        <w:rPr>
          <w:rFonts w:ascii="Avenir Next" w:hAnsi="Avenir Next"/>
          <w:lang w:val="en-US"/>
        </w:rPr>
        <w:t xml:space="preserve"> </w:t>
      </w:r>
      <w:r w:rsidRPr="00630C4C">
        <w:rPr>
          <w:rFonts w:ascii="Avenir Next" w:hAnsi="Avenir Next"/>
          <w:lang w:val="en-US"/>
        </w:rPr>
        <w:t xml:space="preserve">such values be shared by schools, families and communities </w:t>
      </w:r>
      <w:proofErr w:type="gramStart"/>
      <w:r w:rsidRPr="00630C4C">
        <w:rPr>
          <w:rFonts w:ascii="Avenir Next" w:hAnsi="Avenir Next"/>
          <w:lang w:val="en-US"/>
        </w:rPr>
        <w:t>in order to</w:t>
      </w:r>
      <w:proofErr w:type="gramEnd"/>
      <w:r w:rsidRPr="00630C4C">
        <w:rPr>
          <w:rFonts w:ascii="Avenir Next" w:hAnsi="Avenir Next"/>
          <w:lang w:val="en-US"/>
        </w:rPr>
        <w:t xml:space="preserve"> ensure that all</w:t>
      </w:r>
      <w:r>
        <w:rPr>
          <w:rFonts w:ascii="Avenir Next" w:hAnsi="Avenir Next"/>
          <w:lang w:val="en-US"/>
        </w:rPr>
        <w:t xml:space="preserve"> </w:t>
      </w:r>
      <w:r w:rsidRPr="00630C4C">
        <w:rPr>
          <w:rFonts w:ascii="Avenir Next" w:hAnsi="Avenir Next"/>
          <w:lang w:val="en-US"/>
        </w:rPr>
        <w:t>students may participate fully and actively in the teaching and learning environment</w:t>
      </w:r>
      <w:r w:rsidR="0059195B">
        <w:rPr>
          <w:rFonts w:ascii="Avenir Next" w:hAnsi="Avenir Next"/>
          <w:lang w:val="en-US"/>
        </w:rPr>
        <w:t xml:space="preserve">. </w:t>
      </w:r>
    </w:p>
    <w:p w14:paraId="262AB749" w14:textId="77777777" w:rsidR="00630C4C" w:rsidRDefault="00630C4C" w:rsidP="00630C4C">
      <w:pPr>
        <w:rPr>
          <w:rFonts w:ascii="Avenir Next" w:hAnsi="Avenir Next"/>
          <w:lang w:val="en-US"/>
        </w:rPr>
      </w:pPr>
    </w:p>
    <w:p w14:paraId="3A3DC401" w14:textId="614CD319" w:rsidR="00630C4C" w:rsidRPr="00630C4C" w:rsidRDefault="00630C4C" w:rsidP="00630C4C">
      <w:pPr>
        <w:rPr>
          <w:rFonts w:ascii="Avenir Next" w:eastAsiaTheme="majorEastAsia" w:hAnsi="Avenir Next" w:cstheme="majorBidi"/>
          <w:color w:val="0F4761" w:themeColor="accent1" w:themeShade="BF"/>
          <w:lang w:val="en-US"/>
        </w:rPr>
      </w:pPr>
      <w:r w:rsidRPr="00630C4C">
        <w:rPr>
          <w:rFonts w:ascii="Avenir Next" w:eastAsiaTheme="majorEastAsia" w:hAnsi="Avenir Next" w:cstheme="majorBidi"/>
          <w:color w:val="0F4761" w:themeColor="accent1" w:themeShade="BF"/>
          <w:lang w:val="en-US"/>
        </w:rPr>
        <w:t>Discipline Policies that Restore and Reconnect</w:t>
      </w:r>
    </w:p>
    <w:p w14:paraId="72DBB894" w14:textId="329E23D5" w:rsidR="00630C4C" w:rsidRDefault="00630C4C" w:rsidP="00630C4C">
      <w:pPr>
        <w:rPr>
          <w:rFonts w:ascii="Avenir Next" w:hAnsi="Avenir Next"/>
          <w:lang w:val="en-US"/>
        </w:rPr>
      </w:pPr>
      <w:r w:rsidRPr="00630C4C">
        <w:rPr>
          <w:rFonts w:ascii="Avenir Next" w:hAnsi="Avenir Next"/>
          <w:lang w:val="en-US"/>
        </w:rPr>
        <w:t>Discipline policies that reinforce positive mental health approaches provide alternative</w:t>
      </w:r>
      <w:r w:rsidR="0059195B">
        <w:rPr>
          <w:rFonts w:ascii="Avenir Next" w:hAnsi="Avenir Next"/>
          <w:lang w:val="en-US"/>
        </w:rPr>
        <w:t xml:space="preserve"> methods for</w:t>
      </w:r>
      <w:r w:rsidRPr="00630C4C">
        <w:rPr>
          <w:rFonts w:ascii="Avenir Next" w:hAnsi="Avenir Next"/>
          <w:lang w:val="en-US"/>
        </w:rPr>
        <w:t xml:space="preserve"> addressing student behavio</w:t>
      </w:r>
      <w:r w:rsidR="0059195B">
        <w:rPr>
          <w:rFonts w:ascii="Avenir Next" w:hAnsi="Avenir Next"/>
          <w:lang w:val="en-US"/>
        </w:rPr>
        <w:t>u</w:t>
      </w:r>
      <w:r w:rsidRPr="00630C4C">
        <w:rPr>
          <w:rFonts w:ascii="Avenir Next" w:hAnsi="Avenir Next"/>
          <w:lang w:val="en-US"/>
        </w:rPr>
        <w:t>r issues. Such policies support practices that seek to</w:t>
      </w:r>
      <w:r>
        <w:rPr>
          <w:rFonts w:ascii="Avenir Next" w:hAnsi="Avenir Next"/>
          <w:lang w:val="en-US"/>
        </w:rPr>
        <w:t xml:space="preserve"> </w:t>
      </w:r>
      <w:r w:rsidRPr="00630C4C">
        <w:rPr>
          <w:rFonts w:ascii="Avenir Next" w:hAnsi="Avenir Next"/>
          <w:lang w:val="en-US"/>
        </w:rPr>
        <w:t>maintain school engagement with students and reconnect them to meaningful academic</w:t>
      </w:r>
      <w:r>
        <w:rPr>
          <w:rFonts w:ascii="Avenir Next" w:hAnsi="Avenir Next"/>
          <w:lang w:val="en-US"/>
        </w:rPr>
        <w:t xml:space="preserve"> </w:t>
      </w:r>
      <w:r w:rsidRPr="00630C4C">
        <w:rPr>
          <w:rFonts w:ascii="Avenir Next" w:hAnsi="Avenir Next"/>
          <w:lang w:val="en-US"/>
        </w:rPr>
        <w:t xml:space="preserve">routines and activities. </w:t>
      </w:r>
      <w:r w:rsidR="0059195B">
        <w:rPr>
          <w:rFonts w:ascii="Avenir Next" w:hAnsi="Avenir Next"/>
          <w:lang w:val="en-US"/>
        </w:rPr>
        <w:t>Restorative</w:t>
      </w:r>
      <w:r>
        <w:rPr>
          <w:rFonts w:ascii="Avenir Next" w:hAnsi="Avenir Next"/>
          <w:lang w:val="en-US"/>
        </w:rPr>
        <w:t xml:space="preserve"> </w:t>
      </w:r>
      <w:r w:rsidRPr="00630C4C">
        <w:rPr>
          <w:rFonts w:ascii="Avenir Next" w:hAnsi="Avenir Next"/>
          <w:lang w:val="en-US"/>
        </w:rPr>
        <w:t>response</w:t>
      </w:r>
      <w:r w:rsidR="0059195B">
        <w:rPr>
          <w:rFonts w:ascii="Avenir Next" w:hAnsi="Avenir Next"/>
          <w:lang w:val="en-US"/>
        </w:rPr>
        <w:t xml:space="preserve"> policies </w:t>
      </w:r>
      <w:r w:rsidRPr="00630C4C">
        <w:rPr>
          <w:rFonts w:ascii="Avenir Next" w:hAnsi="Avenir Next"/>
          <w:lang w:val="en-US"/>
        </w:rPr>
        <w:t>might include:</w:t>
      </w:r>
    </w:p>
    <w:p w14:paraId="438E925C" w14:textId="77777777" w:rsidR="00630C4C" w:rsidRPr="00630C4C" w:rsidRDefault="00630C4C" w:rsidP="00630C4C">
      <w:pPr>
        <w:rPr>
          <w:rFonts w:ascii="Avenir Next" w:hAnsi="Avenir Next"/>
          <w:lang w:val="en-US"/>
        </w:rPr>
      </w:pPr>
    </w:p>
    <w:p w14:paraId="5B8A3DB5" w14:textId="0E4E0F0D" w:rsidR="00630C4C" w:rsidRPr="00630C4C" w:rsidRDefault="00630C4C" w:rsidP="00630C4C">
      <w:pPr>
        <w:pStyle w:val="ListParagraph"/>
        <w:numPr>
          <w:ilvl w:val="0"/>
          <w:numId w:val="31"/>
        </w:numPr>
        <w:rPr>
          <w:rFonts w:ascii="Avenir Next" w:hAnsi="Avenir Next"/>
          <w:lang w:val="en-US"/>
        </w:rPr>
      </w:pPr>
      <w:r w:rsidRPr="00630C4C">
        <w:rPr>
          <w:rFonts w:ascii="Avenir Next" w:hAnsi="Avenir Next"/>
          <w:lang w:val="en-US"/>
        </w:rPr>
        <w:t>Carrying out individual problem-solving situations with students following a cooldown period</w:t>
      </w:r>
    </w:p>
    <w:p w14:paraId="350D2AB8" w14:textId="77C922C3" w:rsidR="00630C4C" w:rsidRPr="00630C4C" w:rsidRDefault="00630C4C" w:rsidP="00630C4C">
      <w:pPr>
        <w:pStyle w:val="ListParagraph"/>
        <w:numPr>
          <w:ilvl w:val="0"/>
          <w:numId w:val="31"/>
        </w:numPr>
        <w:rPr>
          <w:rFonts w:ascii="Avenir Next" w:hAnsi="Avenir Next"/>
          <w:lang w:val="en-US"/>
        </w:rPr>
      </w:pPr>
      <w:r w:rsidRPr="00630C4C">
        <w:rPr>
          <w:rFonts w:ascii="Avenir Next" w:hAnsi="Avenir Next"/>
          <w:lang w:val="en-US"/>
        </w:rPr>
        <w:t>Finding points of connection or common areas that could be used to develop</w:t>
      </w:r>
      <w:r>
        <w:rPr>
          <w:rFonts w:ascii="Avenir Next" w:hAnsi="Avenir Next"/>
          <w:lang w:val="en-US"/>
        </w:rPr>
        <w:t xml:space="preserve"> </w:t>
      </w:r>
      <w:r w:rsidRPr="00630C4C">
        <w:rPr>
          <w:rFonts w:ascii="Avenir Next" w:hAnsi="Avenir Next"/>
          <w:lang w:val="en-US"/>
        </w:rPr>
        <w:t>rapport and a working relationship with students who have emotional or</w:t>
      </w:r>
      <w:r>
        <w:rPr>
          <w:rFonts w:ascii="Avenir Next" w:hAnsi="Avenir Next"/>
          <w:lang w:val="en-US"/>
        </w:rPr>
        <w:t xml:space="preserve"> </w:t>
      </w:r>
      <w:r w:rsidRPr="00630C4C">
        <w:rPr>
          <w:rFonts w:ascii="Avenir Next" w:hAnsi="Avenir Next"/>
          <w:lang w:val="en-US"/>
        </w:rPr>
        <w:t>behavioural issues</w:t>
      </w:r>
    </w:p>
    <w:p w14:paraId="2E44A09A" w14:textId="64C055A8" w:rsidR="00630C4C" w:rsidRPr="00630C4C" w:rsidRDefault="00630C4C" w:rsidP="00630C4C">
      <w:pPr>
        <w:pStyle w:val="ListParagraph"/>
        <w:numPr>
          <w:ilvl w:val="0"/>
          <w:numId w:val="32"/>
        </w:numPr>
        <w:rPr>
          <w:rFonts w:ascii="Avenir Next" w:hAnsi="Avenir Next"/>
          <w:lang w:val="en-US"/>
        </w:rPr>
      </w:pPr>
      <w:r w:rsidRPr="00630C4C">
        <w:rPr>
          <w:rFonts w:ascii="Avenir Next" w:hAnsi="Avenir Next"/>
          <w:lang w:val="en-US"/>
        </w:rPr>
        <w:t>Using restitution or restorative approaches to keep students engaged with</w:t>
      </w:r>
      <w:r w:rsidR="000C45AB">
        <w:rPr>
          <w:rFonts w:ascii="Avenir Next" w:hAnsi="Avenir Next"/>
          <w:lang w:val="en-US"/>
        </w:rPr>
        <w:t xml:space="preserve"> the school </w:t>
      </w:r>
    </w:p>
    <w:p w14:paraId="273FEE09" w14:textId="21712852" w:rsidR="00630C4C" w:rsidRPr="00630C4C" w:rsidRDefault="00630C4C" w:rsidP="00630C4C">
      <w:pPr>
        <w:pStyle w:val="ListParagraph"/>
        <w:numPr>
          <w:ilvl w:val="0"/>
          <w:numId w:val="32"/>
        </w:numPr>
        <w:rPr>
          <w:rFonts w:ascii="Avenir Next" w:hAnsi="Avenir Next"/>
          <w:lang w:val="en-US"/>
        </w:rPr>
      </w:pPr>
      <w:r w:rsidRPr="00630C4C">
        <w:rPr>
          <w:rFonts w:ascii="Avenir Next" w:hAnsi="Avenir Next"/>
          <w:lang w:val="en-US"/>
        </w:rPr>
        <w:t>Developing behavio</w:t>
      </w:r>
      <w:r w:rsidR="000C45AB">
        <w:rPr>
          <w:rFonts w:ascii="Avenir Next" w:hAnsi="Avenir Next"/>
          <w:lang w:val="en-US"/>
        </w:rPr>
        <w:t>u</w:t>
      </w:r>
      <w:r w:rsidRPr="00630C4C">
        <w:rPr>
          <w:rFonts w:ascii="Avenir Next" w:hAnsi="Avenir Next"/>
          <w:lang w:val="en-US"/>
        </w:rPr>
        <w:t xml:space="preserve">ral </w:t>
      </w:r>
      <w:r w:rsidR="000C45AB">
        <w:rPr>
          <w:rFonts w:ascii="Avenir Next" w:hAnsi="Avenir Next"/>
          <w:lang w:val="en-US"/>
        </w:rPr>
        <w:t>contracts</w:t>
      </w:r>
      <w:r w:rsidRPr="00630C4C">
        <w:rPr>
          <w:rFonts w:ascii="Avenir Next" w:hAnsi="Avenir Next"/>
          <w:lang w:val="en-US"/>
        </w:rPr>
        <w:t xml:space="preserve"> that include straightforward steps that are</w:t>
      </w:r>
      <w:r>
        <w:rPr>
          <w:rFonts w:ascii="Avenir Next" w:hAnsi="Avenir Next"/>
          <w:lang w:val="en-US"/>
        </w:rPr>
        <w:t xml:space="preserve"> </w:t>
      </w:r>
      <w:r w:rsidRPr="00630C4C">
        <w:rPr>
          <w:rFonts w:ascii="Avenir Next" w:hAnsi="Avenir Next"/>
          <w:lang w:val="en-US"/>
        </w:rPr>
        <w:t>achievable by students</w:t>
      </w:r>
    </w:p>
    <w:p w14:paraId="1BF37F8D" w14:textId="1B44420C" w:rsidR="00630C4C" w:rsidRPr="00630C4C" w:rsidRDefault="00630C4C" w:rsidP="00630C4C">
      <w:pPr>
        <w:pStyle w:val="ListParagraph"/>
        <w:numPr>
          <w:ilvl w:val="0"/>
          <w:numId w:val="32"/>
        </w:numPr>
        <w:rPr>
          <w:rFonts w:ascii="Avenir Next" w:hAnsi="Avenir Next"/>
          <w:lang w:val="en-US"/>
        </w:rPr>
      </w:pPr>
      <w:r w:rsidRPr="00630C4C">
        <w:rPr>
          <w:rFonts w:ascii="Avenir Next" w:hAnsi="Avenir Next"/>
          <w:lang w:val="en-US"/>
        </w:rPr>
        <w:t>Applying solution-focused or motivational interviewing approaches to identify plans</w:t>
      </w:r>
      <w:r>
        <w:rPr>
          <w:rFonts w:ascii="Avenir Next" w:hAnsi="Avenir Next"/>
          <w:lang w:val="en-US"/>
        </w:rPr>
        <w:t xml:space="preserve"> </w:t>
      </w:r>
      <w:r w:rsidRPr="00630C4C">
        <w:rPr>
          <w:rFonts w:ascii="Avenir Next" w:hAnsi="Avenir Next"/>
          <w:lang w:val="en-US"/>
        </w:rPr>
        <w:t>for resolving areas of difficulty or challenge</w:t>
      </w:r>
    </w:p>
    <w:p w14:paraId="2C374C09" w14:textId="7864C199" w:rsidR="00630C4C" w:rsidRDefault="00630C4C" w:rsidP="00630C4C">
      <w:pPr>
        <w:pStyle w:val="ListParagraph"/>
        <w:numPr>
          <w:ilvl w:val="0"/>
          <w:numId w:val="32"/>
        </w:numPr>
        <w:rPr>
          <w:rFonts w:ascii="Avenir Next" w:hAnsi="Avenir Next"/>
          <w:lang w:val="en-US"/>
        </w:rPr>
      </w:pPr>
      <w:r w:rsidRPr="000C45AB">
        <w:rPr>
          <w:rFonts w:ascii="Avenir Next" w:hAnsi="Avenir Next"/>
          <w:lang w:val="en-US"/>
        </w:rPr>
        <w:t xml:space="preserve">Organizing mentorship or supportive relationships with key school personnel or community volunteers </w:t>
      </w:r>
    </w:p>
    <w:p w14:paraId="7DEC6547" w14:textId="77777777" w:rsidR="00630C4C" w:rsidRDefault="00630C4C" w:rsidP="00630C4C">
      <w:pPr>
        <w:rPr>
          <w:rFonts w:ascii="Avenir Next" w:hAnsi="Avenir Next"/>
          <w:lang w:val="en-US"/>
        </w:rPr>
      </w:pPr>
    </w:p>
    <w:p w14:paraId="6DB7218D" w14:textId="6DB2FEB8" w:rsidR="00630C4C" w:rsidRPr="00630C4C" w:rsidRDefault="00630C4C" w:rsidP="00630C4C">
      <w:pPr>
        <w:rPr>
          <w:rFonts w:ascii="Avenir Next" w:eastAsiaTheme="majorEastAsia" w:hAnsi="Avenir Next" w:cstheme="majorBidi"/>
          <w:color w:val="0F4761" w:themeColor="accent1" w:themeShade="BF"/>
          <w:lang w:val="en-US"/>
        </w:rPr>
      </w:pPr>
      <w:r w:rsidRPr="00630C4C">
        <w:rPr>
          <w:rFonts w:ascii="Avenir Next" w:eastAsiaTheme="majorEastAsia" w:hAnsi="Avenir Next" w:cstheme="majorBidi"/>
          <w:color w:val="0F4761" w:themeColor="accent1" w:themeShade="BF"/>
          <w:lang w:val="en-US"/>
        </w:rPr>
        <w:t>Shared Policies that Ensure System Collaboration</w:t>
      </w:r>
    </w:p>
    <w:p w14:paraId="48338718" w14:textId="26FA358E" w:rsidR="00630C4C" w:rsidRDefault="00630C4C" w:rsidP="00630C4C">
      <w:pPr>
        <w:rPr>
          <w:rFonts w:ascii="Avenir Next" w:hAnsi="Avenir Next"/>
          <w:lang w:val="en-US"/>
        </w:rPr>
      </w:pPr>
      <w:r w:rsidRPr="00630C4C">
        <w:rPr>
          <w:rFonts w:ascii="Avenir Next" w:hAnsi="Avenir Next"/>
          <w:lang w:val="en-US"/>
        </w:rPr>
        <w:t xml:space="preserve">Comprehensive </w:t>
      </w:r>
      <w:r w:rsidR="000C45AB">
        <w:rPr>
          <w:rFonts w:ascii="Avenir Next" w:hAnsi="Avenir Next"/>
          <w:lang w:val="en-US"/>
        </w:rPr>
        <w:t>well-being</w:t>
      </w:r>
      <w:r w:rsidRPr="00630C4C">
        <w:rPr>
          <w:rFonts w:ascii="Avenir Next" w:hAnsi="Avenir Next"/>
          <w:lang w:val="en-US"/>
        </w:rPr>
        <w:t xml:space="preserve"> approaches require the establishment of policy</w:t>
      </w:r>
      <w:r>
        <w:rPr>
          <w:rFonts w:ascii="Avenir Next" w:hAnsi="Avenir Next"/>
          <w:lang w:val="en-US"/>
        </w:rPr>
        <w:t xml:space="preserve"> </w:t>
      </w:r>
      <w:r w:rsidRPr="00630C4C">
        <w:rPr>
          <w:rFonts w:ascii="Avenir Next" w:hAnsi="Avenir Next"/>
          <w:lang w:val="en-US"/>
        </w:rPr>
        <w:t>and practice guidelines that support the provision of</w:t>
      </w:r>
      <w:r>
        <w:rPr>
          <w:rFonts w:ascii="Avenir Next" w:hAnsi="Avenir Next"/>
          <w:lang w:val="en-US"/>
        </w:rPr>
        <w:t xml:space="preserve"> </w:t>
      </w:r>
      <w:r w:rsidRPr="00630C4C">
        <w:rPr>
          <w:rFonts w:ascii="Avenir Next" w:hAnsi="Avenir Next"/>
          <w:lang w:val="en-US"/>
        </w:rPr>
        <w:t>coordinated programs and services</w:t>
      </w:r>
      <w:r w:rsidR="000C45AB">
        <w:rPr>
          <w:rFonts w:ascii="Avenir Next" w:hAnsi="Avenir Next"/>
          <w:lang w:val="en-US"/>
        </w:rPr>
        <w:t xml:space="preserve">. </w:t>
      </w:r>
      <w:r w:rsidRPr="00630C4C">
        <w:rPr>
          <w:rFonts w:ascii="Avenir Next" w:hAnsi="Avenir Next"/>
          <w:lang w:val="en-US"/>
        </w:rPr>
        <w:t xml:space="preserve"> Strategies for enhancing awareness of existing school and</w:t>
      </w:r>
      <w:r>
        <w:rPr>
          <w:rFonts w:ascii="Avenir Next" w:hAnsi="Avenir Next"/>
          <w:lang w:val="en-US"/>
        </w:rPr>
        <w:t xml:space="preserve"> </w:t>
      </w:r>
      <w:r w:rsidRPr="00630C4C">
        <w:rPr>
          <w:rFonts w:ascii="Avenir Next" w:hAnsi="Avenir Next"/>
          <w:lang w:val="en-US"/>
        </w:rPr>
        <w:t>community capacity may include:</w:t>
      </w:r>
    </w:p>
    <w:p w14:paraId="4EC3D0F3" w14:textId="77777777" w:rsidR="00630C4C" w:rsidRPr="00630C4C" w:rsidRDefault="00630C4C" w:rsidP="00630C4C">
      <w:pPr>
        <w:rPr>
          <w:rFonts w:ascii="Avenir Next" w:hAnsi="Avenir Next"/>
          <w:lang w:val="en-US"/>
        </w:rPr>
      </w:pPr>
    </w:p>
    <w:p w14:paraId="557B04DF" w14:textId="5CE00ADD" w:rsidR="00630C4C" w:rsidRPr="00630C4C" w:rsidRDefault="00630C4C" w:rsidP="00630C4C">
      <w:pPr>
        <w:pStyle w:val="ListParagraph"/>
        <w:numPr>
          <w:ilvl w:val="0"/>
          <w:numId w:val="34"/>
        </w:numPr>
        <w:rPr>
          <w:rFonts w:ascii="Avenir Next" w:hAnsi="Avenir Next"/>
          <w:lang w:val="en-US"/>
        </w:rPr>
      </w:pPr>
      <w:r w:rsidRPr="00630C4C">
        <w:rPr>
          <w:rFonts w:ascii="Avenir Next" w:hAnsi="Avenir Next"/>
          <w:lang w:val="en-US"/>
        </w:rPr>
        <w:t>Developing regional or community resource directories outlining positive mental</w:t>
      </w:r>
      <w:r>
        <w:rPr>
          <w:rFonts w:ascii="Avenir Next" w:hAnsi="Avenir Next"/>
          <w:lang w:val="en-US"/>
        </w:rPr>
        <w:t xml:space="preserve"> </w:t>
      </w:r>
      <w:r w:rsidRPr="00630C4C">
        <w:rPr>
          <w:rFonts w:ascii="Avenir Next" w:hAnsi="Avenir Next"/>
          <w:lang w:val="en-US"/>
        </w:rPr>
        <w:t>health programs for children, youth and families</w:t>
      </w:r>
    </w:p>
    <w:p w14:paraId="77902908" w14:textId="7EFDAEF8" w:rsidR="00630C4C" w:rsidRPr="00630C4C" w:rsidRDefault="00630C4C" w:rsidP="00630C4C">
      <w:pPr>
        <w:pStyle w:val="ListParagraph"/>
        <w:numPr>
          <w:ilvl w:val="0"/>
          <w:numId w:val="35"/>
        </w:numPr>
        <w:rPr>
          <w:rFonts w:ascii="Avenir Next" w:hAnsi="Avenir Next"/>
          <w:lang w:val="en-US"/>
        </w:rPr>
      </w:pPr>
      <w:r w:rsidRPr="00630C4C">
        <w:rPr>
          <w:rFonts w:ascii="Avenir Next" w:hAnsi="Avenir Next"/>
          <w:lang w:val="en-US"/>
        </w:rPr>
        <w:t>Organizing community fairs and open houses where health and educational</w:t>
      </w:r>
      <w:r>
        <w:rPr>
          <w:rFonts w:ascii="Avenir Next" w:hAnsi="Avenir Next"/>
          <w:lang w:val="en-US"/>
        </w:rPr>
        <w:t xml:space="preserve"> </w:t>
      </w:r>
      <w:r w:rsidRPr="00630C4C">
        <w:rPr>
          <w:rFonts w:ascii="Avenir Next" w:hAnsi="Avenir Next"/>
          <w:lang w:val="en-US"/>
        </w:rPr>
        <w:t xml:space="preserve">stakeholders and service providers </w:t>
      </w:r>
      <w:r w:rsidR="000C45AB">
        <w:rPr>
          <w:rFonts w:ascii="Avenir Next" w:hAnsi="Avenir Next"/>
          <w:lang w:val="en-US"/>
        </w:rPr>
        <w:t>can</w:t>
      </w:r>
      <w:r w:rsidRPr="00630C4C">
        <w:rPr>
          <w:rFonts w:ascii="Avenir Next" w:hAnsi="Avenir Next"/>
          <w:lang w:val="en-US"/>
        </w:rPr>
        <w:t xml:space="preserve"> promote their services and exchange</w:t>
      </w:r>
      <w:r>
        <w:rPr>
          <w:rFonts w:ascii="Avenir Next" w:hAnsi="Avenir Next"/>
          <w:lang w:val="en-US"/>
        </w:rPr>
        <w:t xml:space="preserve"> </w:t>
      </w:r>
      <w:r w:rsidRPr="00630C4C">
        <w:rPr>
          <w:rFonts w:ascii="Avenir Next" w:hAnsi="Avenir Next"/>
          <w:lang w:val="en-US"/>
        </w:rPr>
        <w:t>program information</w:t>
      </w:r>
    </w:p>
    <w:p w14:paraId="6EA074E3" w14:textId="652E5727" w:rsidR="00630C4C" w:rsidRDefault="00630C4C" w:rsidP="00630C4C">
      <w:pPr>
        <w:pStyle w:val="ListParagraph"/>
        <w:numPr>
          <w:ilvl w:val="0"/>
          <w:numId w:val="35"/>
        </w:numPr>
        <w:rPr>
          <w:rFonts w:ascii="Avenir Next" w:hAnsi="Avenir Next"/>
          <w:lang w:val="en-US"/>
        </w:rPr>
      </w:pPr>
      <w:r w:rsidRPr="00630C4C">
        <w:rPr>
          <w:rFonts w:ascii="Avenir Next" w:hAnsi="Avenir Next"/>
          <w:lang w:val="en-US"/>
        </w:rPr>
        <w:t>Implementing community-wide planning sessions to strengthen collaborative efforts</w:t>
      </w:r>
      <w:r>
        <w:rPr>
          <w:rFonts w:ascii="Avenir Next" w:hAnsi="Avenir Next"/>
          <w:lang w:val="en-US"/>
        </w:rPr>
        <w:t xml:space="preserve"> </w:t>
      </w:r>
      <w:r w:rsidRPr="00630C4C">
        <w:rPr>
          <w:rFonts w:ascii="Avenir Next" w:hAnsi="Avenir Next"/>
          <w:lang w:val="en-US"/>
        </w:rPr>
        <w:t xml:space="preserve">and develop strategies that address policy gaps or concerns </w:t>
      </w:r>
    </w:p>
    <w:p w14:paraId="643458D9" w14:textId="77777777" w:rsidR="00630C4C" w:rsidRPr="00630C4C" w:rsidRDefault="00630C4C" w:rsidP="00630C4C">
      <w:pPr>
        <w:pStyle w:val="ListParagraph"/>
        <w:rPr>
          <w:rFonts w:ascii="Avenir Next" w:hAnsi="Avenir Next"/>
          <w:lang w:val="en-US"/>
        </w:rPr>
      </w:pPr>
    </w:p>
    <w:p w14:paraId="1CB10B99" w14:textId="77777777" w:rsidR="00630C4C" w:rsidRPr="00630C4C" w:rsidRDefault="00630C4C" w:rsidP="00630C4C">
      <w:pPr>
        <w:rPr>
          <w:rFonts w:ascii="Avenir Next" w:hAnsi="Avenir Next"/>
          <w:lang w:val="en-US"/>
        </w:rPr>
      </w:pPr>
      <w:r w:rsidRPr="00630C4C">
        <w:rPr>
          <w:rFonts w:ascii="Avenir Next" w:hAnsi="Avenir Next"/>
          <w:lang w:val="en-US"/>
        </w:rPr>
        <w:t>Over time, the outcomes of collaborative and integrative practices may also create</w:t>
      </w:r>
    </w:p>
    <w:p w14:paraId="4F16AC0C" w14:textId="77777777" w:rsidR="00630C4C" w:rsidRPr="00630C4C" w:rsidRDefault="00630C4C" w:rsidP="00630C4C">
      <w:pPr>
        <w:rPr>
          <w:rFonts w:ascii="Avenir Next" w:hAnsi="Avenir Next"/>
          <w:lang w:val="en-US"/>
        </w:rPr>
      </w:pPr>
      <w:r w:rsidRPr="00630C4C">
        <w:rPr>
          <w:rFonts w:ascii="Avenir Next" w:hAnsi="Avenir Next"/>
          <w:lang w:val="en-US"/>
        </w:rPr>
        <w:t>opportunities for the establishment of common policies for accessing services and</w:t>
      </w:r>
    </w:p>
    <w:p w14:paraId="33D31C6E" w14:textId="77777777" w:rsidR="00630C4C" w:rsidRPr="00630C4C" w:rsidRDefault="00630C4C" w:rsidP="00630C4C">
      <w:pPr>
        <w:rPr>
          <w:rFonts w:ascii="Avenir Next" w:hAnsi="Avenir Next"/>
          <w:lang w:val="en-US"/>
        </w:rPr>
      </w:pPr>
      <w:r w:rsidRPr="00630C4C">
        <w:rPr>
          <w:rFonts w:ascii="Avenir Next" w:hAnsi="Avenir Next"/>
          <w:lang w:val="en-US"/>
        </w:rPr>
        <w:t>supports, and for working together in a more integrative fashion. These may include</w:t>
      </w:r>
    </w:p>
    <w:p w14:paraId="44F67A28" w14:textId="77777777" w:rsidR="00630C4C" w:rsidRPr="00630C4C" w:rsidRDefault="00630C4C" w:rsidP="00630C4C">
      <w:pPr>
        <w:rPr>
          <w:rFonts w:ascii="Avenir Next" w:hAnsi="Avenir Next"/>
          <w:lang w:val="en-US"/>
        </w:rPr>
      </w:pPr>
      <w:r w:rsidRPr="00630C4C">
        <w:rPr>
          <w:rFonts w:ascii="Avenir Next" w:hAnsi="Avenir Next"/>
          <w:lang w:val="en-US"/>
        </w:rPr>
        <w:lastRenderedPageBreak/>
        <w:t>common policies related to program referrals and service access, shared approaches</w:t>
      </w:r>
    </w:p>
    <w:p w14:paraId="1BFDB9B1" w14:textId="4691F574" w:rsidR="00325F88" w:rsidRPr="00630C4C" w:rsidRDefault="00630C4C" w:rsidP="00630C4C">
      <w:pPr>
        <w:rPr>
          <w:rFonts w:ascii="Avenir Next" w:hAnsi="Avenir Next"/>
          <w:lang w:val="en-US"/>
        </w:rPr>
      </w:pPr>
      <w:r w:rsidRPr="00630C4C">
        <w:rPr>
          <w:rFonts w:ascii="Avenir Next" w:hAnsi="Avenir Next"/>
          <w:lang w:val="en-US"/>
        </w:rPr>
        <w:t xml:space="preserve">for the provision of school-wide </w:t>
      </w:r>
      <w:r w:rsidR="000C45AB">
        <w:rPr>
          <w:rFonts w:ascii="Avenir Next" w:hAnsi="Avenir Next"/>
          <w:lang w:val="en-US"/>
        </w:rPr>
        <w:t>well-being</w:t>
      </w:r>
      <w:r w:rsidRPr="00630C4C">
        <w:rPr>
          <w:rFonts w:ascii="Avenir Next" w:hAnsi="Avenir Next"/>
          <w:lang w:val="en-US"/>
        </w:rPr>
        <w:t xml:space="preserve"> promotion or early intervention</w:t>
      </w:r>
      <w:r>
        <w:rPr>
          <w:rFonts w:ascii="Avenir Next" w:hAnsi="Avenir Next"/>
          <w:lang w:val="en-US"/>
        </w:rPr>
        <w:t xml:space="preserve"> </w:t>
      </w:r>
      <w:r w:rsidRPr="00630C4C">
        <w:rPr>
          <w:rFonts w:ascii="Avenir Next" w:hAnsi="Avenir Next"/>
          <w:lang w:val="en-US"/>
        </w:rPr>
        <w:t>efforts, common protocols for the exchange of information</w:t>
      </w:r>
      <w:r w:rsidR="000C45AB">
        <w:rPr>
          <w:rFonts w:ascii="Avenir Next" w:hAnsi="Avenir Next"/>
          <w:lang w:val="en-US"/>
        </w:rPr>
        <w:t>,</w:t>
      </w:r>
      <w:r w:rsidRPr="00630C4C">
        <w:rPr>
          <w:rFonts w:ascii="Avenir Next" w:hAnsi="Avenir Next"/>
          <w:lang w:val="en-US"/>
        </w:rPr>
        <w:t xml:space="preserve"> and</w:t>
      </w:r>
      <w:r>
        <w:rPr>
          <w:rFonts w:ascii="Avenir Next" w:hAnsi="Avenir Next"/>
          <w:lang w:val="en-US"/>
        </w:rPr>
        <w:t xml:space="preserve"> </w:t>
      </w:r>
      <w:r w:rsidRPr="00630C4C">
        <w:rPr>
          <w:rFonts w:ascii="Avenir Next" w:hAnsi="Avenir Next"/>
          <w:lang w:val="en-US"/>
        </w:rPr>
        <w:t xml:space="preserve">collaborative mechanisms for identifying and addressing gaps in services </w:t>
      </w:r>
      <w:r w:rsidR="000C45AB">
        <w:rPr>
          <w:rFonts w:ascii="Avenir Next" w:hAnsi="Avenir Next"/>
          <w:lang w:val="en-US"/>
        </w:rPr>
        <w:t>for</w:t>
      </w:r>
      <w:r w:rsidRPr="00630C4C">
        <w:rPr>
          <w:rFonts w:ascii="Avenir Next" w:hAnsi="Avenir Next"/>
          <w:lang w:val="en-US"/>
        </w:rPr>
        <w:t xml:space="preserve"> children</w:t>
      </w:r>
      <w:r w:rsidR="000C45AB">
        <w:rPr>
          <w:rFonts w:ascii="Avenir Next" w:hAnsi="Avenir Next"/>
          <w:lang w:val="en-US"/>
        </w:rPr>
        <w:t xml:space="preserve">, </w:t>
      </w:r>
      <w:r w:rsidRPr="00630C4C">
        <w:rPr>
          <w:rFonts w:ascii="Avenir Next" w:hAnsi="Avenir Next"/>
          <w:lang w:val="en-US"/>
        </w:rPr>
        <w:t>youth or their families</w:t>
      </w:r>
      <w:r w:rsidR="000C45AB">
        <w:rPr>
          <w:rFonts w:ascii="Avenir Next" w:hAnsi="Avenir Next"/>
          <w:lang w:val="en-US"/>
        </w:rPr>
        <w:t>.</w:t>
      </w:r>
    </w:p>
    <w:sectPr w:rsidR="00325F88" w:rsidRPr="00630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750D"/>
    <w:multiLevelType w:val="hybridMultilevel"/>
    <w:tmpl w:val="A5E0F0A8"/>
    <w:lvl w:ilvl="0" w:tplc="0D4A0CAC">
      <w:start w:val="2002"/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0A81"/>
    <w:multiLevelType w:val="hybridMultilevel"/>
    <w:tmpl w:val="760C0694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11C6"/>
    <w:multiLevelType w:val="hybridMultilevel"/>
    <w:tmpl w:val="252EBDC6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73E48"/>
    <w:multiLevelType w:val="hybridMultilevel"/>
    <w:tmpl w:val="47F6F70E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614C3"/>
    <w:multiLevelType w:val="hybridMultilevel"/>
    <w:tmpl w:val="66C6449E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C1B08"/>
    <w:multiLevelType w:val="hybridMultilevel"/>
    <w:tmpl w:val="7FD6B1C4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3CCC"/>
    <w:multiLevelType w:val="hybridMultilevel"/>
    <w:tmpl w:val="F8F45CB0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E6AA7"/>
    <w:multiLevelType w:val="hybridMultilevel"/>
    <w:tmpl w:val="95903EA4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969C1"/>
    <w:multiLevelType w:val="hybridMultilevel"/>
    <w:tmpl w:val="5CDCFEE0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14AA8"/>
    <w:multiLevelType w:val="hybridMultilevel"/>
    <w:tmpl w:val="33B8A354"/>
    <w:lvl w:ilvl="0" w:tplc="0D4A0CAC">
      <w:start w:val="6"/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820AA"/>
    <w:multiLevelType w:val="hybridMultilevel"/>
    <w:tmpl w:val="BAE6B8A8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56B87"/>
    <w:multiLevelType w:val="hybridMultilevel"/>
    <w:tmpl w:val="AE3E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57634"/>
    <w:multiLevelType w:val="hybridMultilevel"/>
    <w:tmpl w:val="F3662488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D5237"/>
    <w:multiLevelType w:val="hybridMultilevel"/>
    <w:tmpl w:val="BA2A5C98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C1CAA"/>
    <w:multiLevelType w:val="hybridMultilevel"/>
    <w:tmpl w:val="BE461A2C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A2647"/>
    <w:multiLevelType w:val="hybridMultilevel"/>
    <w:tmpl w:val="81367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74134"/>
    <w:multiLevelType w:val="hybridMultilevel"/>
    <w:tmpl w:val="2D08EC84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07D6B"/>
    <w:multiLevelType w:val="hybridMultilevel"/>
    <w:tmpl w:val="7088AA78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62BC6"/>
    <w:multiLevelType w:val="hybridMultilevel"/>
    <w:tmpl w:val="1ED2AA1C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1235A"/>
    <w:multiLevelType w:val="hybridMultilevel"/>
    <w:tmpl w:val="00CC1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351F4"/>
    <w:multiLevelType w:val="hybridMultilevel"/>
    <w:tmpl w:val="7F008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E1563"/>
    <w:multiLevelType w:val="hybridMultilevel"/>
    <w:tmpl w:val="75C480CE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5476F"/>
    <w:multiLevelType w:val="hybridMultilevel"/>
    <w:tmpl w:val="8430C96E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52269"/>
    <w:multiLevelType w:val="hybridMultilevel"/>
    <w:tmpl w:val="B43CEE7E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417DA"/>
    <w:multiLevelType w:val="hybridMultilevel"/>
    <w:tmpl w:val="776A8E98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17244"/>
    <w:multiLevelType w:val="hybridMultilevel"/>
    <w:tmpl w:val="CE1228A8"/>
    <w:lvl w:ilvl="0" w:tplc="0D4A0CAC">
      <w:start w:val="2002"/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563A1"/>
    <w:multiLevelType w:val="hybridMultilevel"/>
    <w:tmpl w:val="E29E84C4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63AC4"/>
    <w:multiLevelType w:val="hybridMultilevel"/>
    <w:tmpl w:val="52CE3604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073A4"/>
    <w:multiLevelType w:val="hybridMultilevel"/>
    <w:tmpl w:val="4288D962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1190B"/>
    <w:multiLevelType w:val="hybridMultilevel"/>
    <w:tmpl w:val="C2BC397A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E3A26"/>
    <w:multiLevelType w:val="hybridMultilevel"/>
    <w:tmpl w:val="2102D420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333DE"/>
    <w:multiLevelType w:val="hybridMultilevel"/>
    <w:tmpl w:val="F2C86342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76BA9"/>
    <w:multiLevelType w:val="hybridMultilevel"/>
    <w:tmpl w:val="F4BC9364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E13E4"/>
    <w:multiLevelType w:val="hybridMultilevel"/>
    <w:tmpl w:val="AFCA83EC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57C9B"/>
    <w:multiLevelType w:val="hybridMultilevel"/>
    <w:tmpl w:val="31D8A5E8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483253">
    <w:abstractNumId w:val="11"/>
  </w:num>
  <w:num w:numId="2" w16cid:durableId="21787271">
    <w:abstractNumId w:val="8"/>
  </w:num>
  <w:num w:numId="3" w16cid:durableId="778719136">
    <w:abstractNumId w:val="29"/>
  </w:num>
  <w:num w:numId="4" w16cid:durableId="1458068712">
    <w:abstractNumId w:val="32"/>
  </w:num>
  <w:num w:numId="5" w16cid:durableId="52966286">
    <w:abstractNumId w:val="3"/>
  </w:num>
  <w:num w:numId="6" w16cid:durableId="628052094">
    <w:abstractNumId w:val="16"/>
  </w:num>
  <w:num w:numId="7" w16cid:durableId="1236361788">
    <w:abstractNumId w:val="26"/>
  </w:num>
  <w:num w:numId="8" w16cid:durableId="1032146830">
    <w:abstractNumId w:val="20"/>
  </w:num>
  <w:num w:numId="9" w16cid:durableId="277227809">
    <w:abstractNumId w:val="19"/>
  </w:num>
  <w:num w:numId="10" w16cid:durableId="1908032988">
    <w:abstractNumId w:val="15"/>
  </w:num>
  <w:num w:numId="11" w16cid:durableId="561596956">
    <w:abstractNumId w:val="23"/>
  </w:num>
  <w:num w:numId="12" w16cid:durableId="1421290278">
    <w:abstractNumId w:val="9"/>
  </w:num>
  <w:num w:numId="13" w16cid:durableId="189534154">
    <w:abstractNumId w:val="28"/>
  </w:num>
  <w:num w:numId="14" w16cid:durableId="1056587682">
    <w:abstractNumId w:val="31"/>
  </w:num>
  <w:num w:numId="15" w16cid:durableId="1903326944">
    <w:abstractNumId w:val="21"/>
  </w:num>
  <w:num w:numId="16" w16cid:durableId="669914080">
    <w:abstractNumId w:val="5"/>
  </w:num>
  <w:num w:numId="17" w16cid:durableId="1331328270">
    <w:abstractNumId w:val="30"/>
  </w:num>
  <w:num w:numId="18" w16cid:durableId="35392503">
    <w:abstractNumId w:val="13"/>
  </w:num>
  <w:num w:numId="19" w16cid:durableId="775322711">
    <w:abstractNumId w:val="24"/>
  </w:num>
  <w:num w:numId="20" w16cid:durableId="1589843915">
    <w:abstractNumId w:val="34"/>
  </w:num>
  <w:num w:numId="21" w16cid:durableId="1064257811">
    <w:abstractNumId w:val="12"/>
  </w:num>
  <w:num w:numId="22" w16cid:durableId="1088235003">
    <w:abstractNumId w:val="22"/>
  </w:num>
  <w:num w:numId="23" w16cid:durableId="719398240">
    <w:abstractNumId w:val="33"/>
  </w:num>
  <w:num w:numId="24" w16cid:durableId="1518617696">
    <w:abstractNumId w:val="0"/>
  </w:num>
  <w:num w:numId="25" w16cid:durableId="1163008445">
    <w:abstractNumId w:val="2"/>
  </w:num>
  <w:num w:numId="26" w16cid:durableId="1168326877">
    <w:abstractNumId w:val="6"/>
  </w:num>
  <w:num w:numId="27" w16cid:durableId="169375157">
    <w:abstractNumId w:val="27"/>
  </w:num>
  <w:num w:numId="28" w16cid:durableId="1588151443">
    <w:abstractNumId w:val="1"/>
  </w:num>
  <w:num w:numId="29" w16cid:durableId="2010323318">
    <w:abstractNumId w:val="25"/>
  </w:num>
  <w:num w:numId="30" w16cid:durableId="1176195065">
    <w:abstractNumId w:val="17"/>
  </w:num>
  <w:num w:numId="31" w16cid:durableId="128524474">
    <w:abstractNumId w:val="10"/>
  </w:num>
  <w:num w:numId="32" w16cid:durableId="363018895">
    <w:abstractNumId w:val="18"/>
  </w:num>
  <w:num w:numId="33" w16cid:durableId="621351440">
    <w:abstractNumId w:val="4"/>
  </w:num>
  <w:num w:numId="34" w16cid:durableId="585698605">
    <w:abstractNumId w:val="7"/>
  </w:num>
  <w:num w:numId="35" w16cid:durableId="7368995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1D"/>
    <w:rsid w:val="000C45AB"/>
    <w:rsid w:val="000E1693"/>
    <w:rsid w:val="00140F91"/>
    <w:rsid w:val="00325F88"/>
    <w:rsid w:val="0043148F"/>
    <w:rsid w:val="00477489"/>
    <w:rsid w:val="004F5469"/>
    <w:rsid w:val="00531402"/>
    <w:rsid w:val="005544BE"/>
    <w:rsid w:val="0059004D"/>
    <w:rsid w:val="0059195B"/>
    <w:rsid w:val="00630C4C"/>
    <w:rsid w:val="0069672B"/>
    <w:rsid w:val="00723E28"/>
    <w:rsid w:val="00760703"/>
    <w:rsid w:val="008042F6"/>
    <w:rsid w:val="0082728A"/>
    <w:rsid w:val="00A54DA3"/>
    <w:rsid w:val="00A8322A"/>
    <w:rsid w:val="00AB7B9B"/>
    <w:rsid w:val="00B266BB"/>
    <w:rsid w:val="00BA7C78"/>
    <w:rsid w:val="00BD5680"/>
    <w:rsid w:val="00BD5F4B"/>
    <w:rsid w:val="00D07274"/>
    <w:rsid w:val="00D178F2"/>
    <w:rsid w:val="00E2741D"/>
    <w:rsid w:val="00E92FA6"/>
    <w:rsid w:val="00E95C37"/>
    <w:rsid w:val="00EA56D8"/>
    <w:rsid w:val="00F5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1A2369"/>
  <w15:chartTrackingRefBased/>
  <w15:docId w15:val="{ACFC23FC-AA06-2443-98D0-9ADAB78D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4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4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4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4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27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4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4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4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4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4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4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4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4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4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Peterson</dc:creator>
  <cp:keywords/>
  <dc:description/>
  <cp:lastModifiedBy>Patricia Peterson</cp:lastModifiedBy>
  <cp:revision>4</cp:revision>
  <dcterms:created xsi:type="dcterms:W3CDTF">2025-02-18T18:25:00Z</dcterms:created>
  <dcterms:modified xsi:type="dcterms:W3CDTF">2025-03-24T15:18:00Z</dcterms:modified>
</cp:coreProperties>
</file>